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938969">
      <w:pPr>
        <w:pStyle w:val="3"/>
        <w:rPr>
          <w:rFonts w:hint="eastAsia"/>
          <w:sz w:val="20"/>
        </w:rPr>
      </w:pPr>
    </w:p>
    <w:p w14:paraId="6D054FAA">
      <w:pPr>
        <w:pStyle w:val="3"/>
        <w:rPr>
          <w:rFonts w:hint="eastAsia"/>
          <w:sz w:val="20"/>
        </w:rPr>
      </w:pPr>
    </w:p>
    <w:p w14:paraId="63D2ACA7">
      <w:pPr>
        <w:pStyle w:val="3"/>
        <w:rPr>
          <w:rFonts w:hint="eastAsia"/>
          <w:sz w:val="20"/>
        </w:rPr>
      </w:pPr>
    </w:p>
    <w:p w14:paraId="21A61FB4">
      <w:pPr>
        <w:pStyle w:val="3"/>
        <w:rPr>
          <w:rFonts w:hint="eastAsia"/>
          <w:sz w:val="20"/>
        </w:rPr>
      </w:pPr>
    </w:p>
    <w:p w14:paraId="54B04F92">
      <w:pPr>
        <w:pStyle w:val="3"/>
        <w:rPr>
          <w:rFonts w:hint="eastAsia"/>
          <w:sz w:val="20"/>
        </w:rPr>
      </w:pPr>
    </w:p>
    <w:p w14:paraId="3BC9FFB7">
      <w:pPr>
        <w:pStyle w:val="3"/>
        <w:spacing w:before="8"/>
        <w:rPr>
          <w:rFonts w:hint="eastAsia"/>
          <w:sz w:val="27"/>
        </w:rPr>
      </w:pPr>
    </w:p>
    <w:p w14:paraId="41C51711">
      <w:pPr>
        <w:pStyle w:val="12"/>
        <w:spacing w:line="1059" w:lineRule="exact"/>
        <w:rPr>
          <w:rFonts w:hint="eastAsia"/>
        </w:rPr>
      </w:pPr>
      <w:r>
        <w:rPr>
          <w:rFonts w:hint="eastAsia"/>
        </w:rPr>
        <w:t>邀请</w:t>
      </w:r>
      <w:r>
        <w:t>比选项目</w:t>
      </w:r>
    </w:p>
    <w:p w14:paraId="6991FAF9">
      <w:pPr>
        <w:spacing w:before="171"/>
        <w:ind w:left="1077" w:right="1081"/>
        <w:jc w:val="center"/>
        <w:rPr>
          <w:rFonts w:hint="eastAsia" w:ascii="黑体" w:eastAsia="黑体"/>
          <w:b/>
          <w:sz w:val="84"/>
        </w:rPr>
      </w:pPr>
      <w:r>
        <w:rPr>
          <w:rFonts w:hint="eastAsia" w:ascii="黑体" w:eastAsia="黑体"/>
          <w:b/>
          <w:sz w:val="84"/>
        </w:rPr>
        <w:t>采购文件</w:t>
      </w:r>
    </w:p>
    <w:p w14:paraId="7F120D6D">
      <w:pPr>
        <w:pStyle w:val="3"/>
        <w:rPr>
          <w:rFonts w:hint="eastAsia" w:ascii="黑体"/>
          <w:b/>
          <w:sz w:val="84"/>
        </w:rPr>
      </w:pPr>
    </w:p>
    <w:p w14:paraId="1786FED4">
      <w:pPr>
        <w:pStyle w:val="3"/>
        <w:spacing w:before="12"/>
        <w:rPr>
          <w:rFonts w:hint="eastAsia" w:ascii="黑体"/>
          <w:b/>
          <w:sz w:val="119"/>
        </w:rPr>
      </w:pPr>
    </w:p>
    <w:p w14:paraId="13C68B98">
      <w:pPr>
        <w:tabs>
          <w:tab w:val="left" w:pos="7645"/>
        </w:tabs>
        <w:ind w:left="749"/>
        <w:jc w:val="center"/>
        <w:rPr>
          <w:rFonts w:ascii="Times New Roman" w:eastAsia="Times New Roman"/>
          <w:sz w:val="36"/>
          <w:u w:val="single"/>
        </w:rPr>
      </w:pPr>
      <w:r>
        <w:rPr>
          <w:b/>
          <w:sz w:val="36"/>
        </w:rPr>
        <w:t>项目名称</w:t>
      </w:r>
      <w:r>
        <w:rPr>
          <w:rFonts w:ascii="Times New Roman" w:eastAsia="Times New Roman"/>
          <w:b/>
          <w:sz w:val="36"/>
        </w:rPr>
        <w:t>:</w:t>
      </w:r>
      <w:r>
        <w:rPr>
          <w:rFonts w:hint="eastAsia" w:ascii="Times New Roman" w:eastAsia="宋体"/>
          <w:b/>
          <w:sz w:val="36"/>
        </w:rPr>
        <w:t xml:space="preserve">   </w:t>
      </w:r>
      <w:r>
        <w:rPr>
          <w:rFonts w:hint="eastAsia" w:ascii="Times New Roman" w:eastAsia="宋体"/>
          <w:b/>
          <w:sz w:val="36"/>
          <w:u w:val="single"/>
        </w:rPr>
        <w:t xml:space="preserve">        </w:t>
      </w:r>
      <w:r>
        <w:rPr>
          <w:rFonts w:hint="eastAsia" w:ascii="Times New Roman" w:eastAsia="宋体"/>
          <w:sz w:val="36"/>
          <w:u w:val="single"/>
        </w:rPr>
        <w:t xml:space="preserve">2025年消防维保采购项目 </w:t>
      </w:r>
    </w:p>
    <w:p w14:paraId="24DBF755">
      <w:pPr>
        <w:pStyle w:val="3"/>
        <w:spacing w:before="9"/>
        <w:rPr>
          <w:rFonts w:hint="eastAsia" w:ascii="Times New Roman"/>
          <w:sz w:val="21"/>
        </w:rPr>
      </w:pPr>
    </w:p>
    <w:p w14:paraId="29DA4B0C">
      <w:pPr>
        <w:spacing w:before="49"/>
        <w:ind w:left="749" w:right="32" w:firstLine="1084" w:firstLineChars="300"/>
        <w:jc w:val="both"/>
        <w:rPr>
          <w:rFonts w:hint="eastAsia"/>
          <w:b/>
          <w:sz w:val="36"/>
        </w:rPr>
      </w:pPr>
      <w:r>
        <w:rPr>
          <w:b/>
          <w:sz w:val="36"/>
        </w:rPr>
        <w:t>经办单位：</w:t>
      </w:r>
      <w:r>
        <w:rPr>
          <w:rFonts w:hint="eastAsia"/>
          <w:b/>
          <w:sz w:val="36"/>
          <w:u w:val="single"/>
        </w:rPr>
        <w:t xml:space="preserve">     宁德职业技术学院      </w:t>
      </w:r>
    </w:p>
    <w:p w14:paraId="0F41C7BC">
      <w:pPr>
        <w:pStyle w:val="3"/>
        <w:spacing w:before="7"/>
        <w:rPr>
          <w:rFonts w:hint="eastAsia"/>
          <w:b/>
          <w:sz w:val="19"/>
        </w:rPr>
      </w:pPr>
    </w:p>
    <w:p w14:paraId="72B7720E">
      <w:pPr>
        <w:tabs>
          <w:tab w:val="left" w:pos="8675"/>
        </w:tabs>
        <w:spacing w:before="49"/>
        <w:ind w:left="1720"/>
        <w:rPr>
          <w:rFonts w:ascii="Times New Roman" w:eastAsia="Times New Roman"/>
          <w:b/>
          <w:sz w:val="36"/>
        </w:rPr>
      </w:pPr>
      <w:r>
        <w:rPr>
          <w:b/>
          <w:sz w:val="36"/>
        </w:rPr>
        <w:t>发布时间：</w:t>
      </w:r>
      <w:r>
        <w:rPr>
          <w:rFonts w:ascii="Times New Roman" w:eastAsia="Times New Roman"/>
          <w:b/>
          <w:sz w:val="36"/>
          <w:u w:val="single"/>
        </w:rPr>
        <w:t xml:space="preserve"> </w:t>
      </w:r>
      <w:r>
        <w:rPr>
          <w:rFonts w:hint="eastAsia" w:ascii="Times New Roman" w:eastAsia="宋体"/>
          <w:b/>
          <w:sz w:val="36"/>
          <w:u w:val="single"/>
        </w:rPr>
        <w:t xml:space="preserve">             2025年11月</w:t>
      </w:r>
      <w:r>
        <w:rPr>
          <w:rFonts w:hint="eastAsia" w:ascii="Times New Roman" w:eastAsia="宋体"/>
          <w:b/>
          <w:sz w:val="36"/>
          <w:u w:val="single"/>
          <w:lang w:val="en-US" w:eastAsia="zh-CN"/>
        </w:rPr>
        <w:t>27</w:t>
      </w:r>
      <w:r>
        <w:rPr>
          <w:rFonts w:hint="eastAsia" w:ascii="Times New Roman" w:eastAsia="宋体"/>
          <w:b/>
          <w:sz w:val="36"/>
          <w:u w:val="single"/>
        </w:rPr>
        <w:t>日</w:t>
      </w:r>
      <w:r>
        <w:rPr>
          <w:rFonts w:ascii="Times New Roman" w:eastAsia="Times New Roman"/>
          <w:b/>
          <w:sz w:val="36"/>
          <w:u w:val="single"/>
        </w:rPr>
        <w:tab/>
      </w:r>
    </w:p>
    <w:p w14:paraId="614B3023">
      <w:pPr>
        <w:rPr>
          <w:rFonts w:ascii="Times New Roman" w:eastAsia="Times New Roman"/>
          <w:sz w:val="36"/>
        </w:rPr>
        <w:sectPr>
          <w:footerReference r:id="rId3" w:type="default"/>
          <w:footerReference r:id="rId4" w:type="even"/>
          <w:pgSz w:w="11910" w:h="16840"/>
          <w:pgMar w:top="1420" w:right="1160" w:bottom="1340" w:left="1160" w:header="0" w:footer="1146" w:gutter="0"/>
          <w:cols w:space="720" w:num="1"/>
        </w:sectPr>
      </w:pPr>
    </w:p>
    <w:p w14:paraId="60B1465D">
      <w:pPr>
        <w:spacing w:before="15"/>
        <w:ind w:left="749" w:right="747"/>
        <w:jc w:val="center"/>
        <w:rPr>
          <w:rFonts w:hint="eastAsia"/>
          <w:sz w:val="52"/>
        </w:rPr>
      </w:pPr>
      <w:r>
        <w:rPr>
          <w:sz w:val="52"/>
        </w:rPr>
        <w:t>目录</w:t>
      </w:r>
    </w:p>
    <w:p w14:paraId="2FBBBDC0">
      <w:pPr>
        <w:pStyle w:val="3"/>
        <w:tabs>
          <w:tab w:val="right" w:leader="dot" w:pos="9485"/>
        </w:tabs>
        <w:spacing w:before="245"/>
        <w:ind w:left="640"/>
        <w:rPr>
          <w:rFonts w:hint="eastAsia"/>
        </w:rPr>
      </w:pPr>
    </w:p>
    <w:p w14:paraId="2D7229DD">
      <w:pPr>
        <w:numPr>
          <w:ilvl w:val="0"/>
          <w:numId w:val="2"/>
        </w:numPr>
        <w:rPr>
          <w:rFonts w:hint="eastAsia"/>
          <w:sz w:val="44"/>
          <w:szCs w:val="44"/>
        </w:rPr>
      </w:pPr>
      <w:r>
        <w:rPr>
          <w:rFonts w:hint="eastAsia"/>
          <w:sz w:val="44"/>
          <w:szCs w:val="44"/>
        </w:rPr>
        <w:t>比选邀请函</w:t>
      </w:r>
    </w:p>
    <w:p w14:paraId="1E2284AB">
      <w:pPr>
        <w:rPr>
          <w:rFonts w:hint="eastAsia"/>
          <w:sz w:val="44"/>
          <w:szCs w:val="44"/>
        </w:rPr>
      </w:pPr>
    </w:p>
    <w:p w14:paraId="122F75F7">
      <w:pPr>
        <w:numPr>
          <w:ilvl w:val="0"/>
          <w:numId w:val="2"/>
        </w:numPr>
        <w:rPr>
          <w:rFonts w:hint="eastAsia"/>
          <w:sz w:val="44"/>
          <w:szCs w:val="44"/>
        </w:rPr>
      </w:pPr>
      <w:r>
        <w:rPr>
          <w:rFonts w:hint="eastAsia"/>
          <w:sz w:val="44"/>
          <w:szCs w:val="44"/>
        </w:rPr>
        <w:t>比选方案</w:t>
      </w:r>
    </w:p>
    <w:p w14:paraId="23DB7C76">
      <w:pPr>
        <w:rPr>
          <w:rFonts w:hint="eastAsia"/>
          <w:sz w:val="44"/>
          <w:szCs w:val="44"/>
        </w:rPr>
      </w:pPr>
    </w:p>
    <w:p w14:paraId="508FD828">
      <w:pPr>
        <w:jc w:val="center"/>
        <w:rPr>
          <w:rFonts w:hint="eastAsia" w:asciiTheme="minorEastAsia" w:hAnsiTheme="minorEastAsia" w:eastAsiaTheme="minorEastAsia" w:cstheme="minorEastAsia"/>
          <w:b/>
          <w:bCs/>
          <w:sz w:val="32"/>
          <w:szCs w:val="32"/>
        </w:rPr>
      </w:pPr>
      <w:bookmarkStart w:id="0" w:name="_bookmark0"/>
      <w:bookmarkEnd w:id="0"/>
    </w:p>
    <w:p w14:paraId="6E19AC1A">
      <w:pPr>
        <w:jc w:val="center"/>
        <w:rPr>
          <w:rFonts w:hint="eastAsia" w:asciiTheme="minorEastAsia" w:hAnsiTheme="minorEastAsia" w:eastAsiaTheme="minorEastAsia" w:cstheme="minorEastAsia"/>
          <w:b/>
          <w:bCs/>
          <w:sz w:val="32"/>
          <w:szCs w:val="32"/>
        </w:rPr>
      </w:pPr>
    </w:p>
    <w:p w14:paraId="3ED97A89">
      <w:pPr>
        <w:jc w:val="center"/>
        <w:rPr>
          <w:rFonts w:hint="eastAsia" w:asciiTheme="minorEastAsia" w:hAnsiTheme="minorEastAsia" w:eastAsiaTheme="minorEastAsia" w:cstheme="minorEastAsia"/>
          <w:b/>
          <w:bCs/>
          <w:sz w:val="32"/>
          <w:szCs w:val="32"/>
        </w:rPr>
      </w:pPr>
    </w:p>
    <w:p w14:paraId="65108447">
      <w:pPr>
        <w:jc w:val="center"/>
        <w:rPr>
          <w:rFonts w:hint="eastAsia" w:asciiTheme="minorEastAsia" w:hAnsiTheme="minorEastAsia" w:eastAsiaTheme="minorEastAsia" w:cstheme="minorEastAsia"/>
          <w:b/>
          <w:bCs/>
          <w:sz w:val="32"/>
          <w:szCs w:val="32"/>
        </w:rPr>
      </w:pPr>
    </w:p>
    <w:p w14:paraId="12171DA3">
      <w:pPr>
        <w:jc w:val="center"/>
        <w:rPr>
          <w:rFonts w:hint="eastAsia" w:asciiTheme="minorEastAsia" w:hAnsiTheme="minorEastAsia" w:eastAsiaTheme="minorEastAsia" w:cstheme="minorEastAsia"/>
          <w:b/>
          <w:bCs/>
          <w:sz w:val="32"/>
          <w:szCs w:val="32"/>
        </w:rPr>
      </w:pPr>
    </w:p>
    <w:p w14:paraId="4827B838">
      <w:pPr>
        <w:jc w:val="center"/>
        <w:rPr>
          <w:rFonts w:hint="eastAsia" w:asciiTheme="minorEastAsia" w:hAnsiTheme="minorEastAsia" w:eastAsiaTheme="minorEastAsia" w:cstheme="minorEastAsia"/>
          <w:b/>
          <w:bCs/>
          <w:sz w:val="32"/>
          <w:szCs w:val="32"/>
        </w:rPr>
      </w:pPr>
    </w:p>
    <w:p w14:paraId="3F88892E">
      <w:pPr>
        <w:jc w:val="center"/>
        <w:rPr>
          <w:rFonts w:hint="eastAsia" w:asciiTheme="minorEastAsia" w:hAnsiTheme="minorEastAsia" w:eastAsiaTheme="minorEastAsia" w:cstheme="minorEastAsia"/>
          <w:b/>
          <w:bCs/>
          <w:sz w:val="32"/>
          <w:szCs w:val="32"/>
        </w:rPr>
      </w:pPr>
    </w:p>
    <w:p w14:paraId="1DB84C9A">
      <w:pPr>
        <w:jc w:val="center"/>
        <w:rPr>
          <w:rFonts w:hint="eastAsia" w:asciiTheme="minorEastAsia" w:hAnsiTheme="minorEastAsia" w:eastAsiaTheme="minorEastAsia" w:cstheme="minorEastAsia"/>
          <w:b/>
          <w:bCs/>
          <w:sz w:val="32"/>
          <w:szCs w:val="32"/>
        </w:rPr>
      </w:pPr>
    </w:p>
    <w:p w14:paraId="7B1F7D7D">
      <w:pPr>
        <w:jc w:val="center"/>
        <w:rPr>
          <w:rFonts w:hint="eastAsia" w:asciiTheme="minorEastAsia" w:hAnsiTheme="minorEastAsia" w:eastAsiaTheme="minorEastAsia" w:cstheme="minorEastAsia"/>
          <w:b/>
          <w:bCs/>
          <w:sz w:val="32"/>
          <w:szCs w:val="32"/>
        </w:rPr>
      </w:pPr>
    </w:p>
    <w:p w14:paraId="65D7EFE7">
      <w:pPr>
        <w:jc w:val="center"/>
        <w:rPr>
          <w:rFonts w:hint="eastAsia" w:asciiTheme="minorEastAsia" w:hAnsiTheme="minorEastAsia" w:eastAsiaTheme="minorEastAsia" w:cstheme="minorEastAsia"/>
          <w:b/>
          <w:bCs/>
          <w:sz w:val="32"/>
          <w:szCs w:val="32"/>
        </w:rPr>
      </w:pPr>
    </w:p>
    <w:p w14:paraId="0BF51EED">
      <w:pPr>
        <w:jc w:val="center"/>
        <w:rPr>
          <w:rFonts w:hint="eastAsia" w:asciiTheme="minorEastAsia" w:hAnsiTheme="minorEastAsia" w:eastAsiaTheme="minorEastAsia" w:cstheme="minorEastAsia"/>
          <w:b/>
          <w:bCs/>
          <w:sz w:val="32"/>
          <w:szCs w:val="32"/>
        </w:rPr>
      </w:pPr>
    </w:p>
    <w:p w14:paraId="56E6A7E4">
      <w:pPr>
        <w:jc w:val="center"/>
        <w:rPr>
          <w:rFonts w:hint="eastAsia" w:asciiTheme="minorEastAsia" w:hAnsiTheme="minorEastAsia" w:eastAsiaTheme="minorEastAsia" w:cstheme="minorEastAsia"/>
          <w:b/>
          <w:bCs/>
          <w:sz w:val="32"/>
          <w:szCs w:val="32"/>
        </w:rPr>
      </w:pPr>
    </w:p>
    <w:p w14:paraId="7B29E766">
      <w:pPr>
        <w:jc w:val="center"/>
        <w:rPr>
          <w:rFonts w:hint="eastAsia" w:asciiTheme="minorEastAsia" w:hAnsiTheme="minorEastAsia" w:eastAsiaTheme="minorEastAsia" w:cstheme="minorEastAsia"/>
          <w:b/>
          <w:bCs/>
          <w:sz w:val="32"/>
          <w:szCs w:val="32"/>
        </w:rPr>
      </w:pPr>
    </w:p>
    <w:p w14:paraId="32161982">
      <w:pPr>
        <w:jc w:val="center"/>
        <w:rPr>
          <w:rFonts w:hint="eastAsia" w:asciiTheme="minorEastAsia" w:hAnsiTheme="minorEastAsia" w:eastAsiaTheme="minorEastAsia" w:cstheme="minorEastAsia"/>
          <w:b/>
          <w:bCs/>
          <w:sz w:val="32"/>
          <w:szCs w:val="32"/>
        </w:rPr>
      </w:pPr>
    </w:p>
    <w:p w14:paraId="7686F640">
      <w:pPr>
        <w:jc w:val="center"/>
        <w:rPr>
          <w:rFonts w:hint="eastAsia" w:asciiTheme="minorEastAsia" w:hAnsiTheme="minorEastAsia" w:eastAsiaTheme="minorEastAsia" w:cstheme="minorEastAsia"/>
          <w:b/>
          <w:bCs/>
          <w:sz w:val="32"/>
          <w:szCs w:val="32"/>
        </w:rPr>
      </w:pPr>
    </w:p>
    <w:p w14:paraId="7576DC9E">
      <w:pPr>
        <w:jc w:val="center"/>
        <w:rPr>
          <w:rFonts w:hint="eastAsia" w:asciiTheme="minorEastAsia" w:hAnsiTheme="minorEastAsia" w:eastAsiaTheme="minorEastAsia" w:cstheme="minorEastAsia"/>
          <w:b/>
          <w:bCs/>
          <w:sz w:val="32"/>
          <w:szCs w:val="32"/>
        </w:rPr>
      </w:pPr>
    </w:p>
    <w:p w14:paraId="03C30338">
      <w:pPr>
        <w:jc w:val="center"/>
        <w:rPr>
          <w:rFonts w:hint="eastAsia" w:asciiTheme="minorEastAsia" w:hAnsiTheme="minorEastAsia" w:eastAsiaTheme="minorEastAsia" w:cstheme="minorEastAsia"/>
          <w:b/>
          <w:bCs/>
          <w:sz w:val="32"/>
          <w:szCs w:val="32"/>
        </w:rPr>
      </w:pPr>
    </w:p>
    <w:p w14:paraId="5B07E7F6">
      <w:pPr>
        <w:jc w:val="center"/>
        <w:rPr>
          <w:rFonts w:hint="eastAsia" w:asciiTheme="minorEastAsia" w:hAnsiTheme="minorEastAsia" w:eastAsiaTheme="minorEastAsia" w:cstheme="minorEastAsia"/>
          <w:b/>
          <w:bCs/>
          <w:sz w:val="32"/>
          <w:szCs w:val="32"/>
        </w:rPr>
      </w:pPr>
    </w:p>
    <w:p w14:paraId="52A95E26">
      <w:pPr>
        <w:jc w:val="center"/>
        <w:rPr>
          <w:rFonts w:hint="eastAsia" w:asciiTheme="minorEastAsia" w:hAnsiTheme="minorEastAsia" w:eastAsiaTheme="minorEastAsia" w:cstheme="minorEastAsia"/>
          <w:b/>
          <w:bCs/>
          <w:sz w:val="32"/>
          <w:szCs w:val="32"/>
        </w:rPr>
      </w:pPr>
    </w:p>
    <w:p w14:paraId="34CEC09B">
      <w:pPr>
        <w:jc w:val="center"/>
        <w:rPr>
          <w:rFonts w:hint="eastAsia" w:asciiTheme="minorEastAsia" w:hAnsiTheme="minorEastAsia" w:eastAsiaTheme="minorEastAsia" w:cstheme="minorEastAsia"/>
          <w:b/>
          <w:bCs/>
          <w:sz w:val="32"/>
          <w:szCs w:val="32"/>
        </w:rPr>
      </w:pPr>
    </w:p>
    <w:p w14:paraId="6A6FE935">
      <w:pPr>
        <w:jc w:val="center"/>
        <w:rPr>
          <w:rFonts w:hint="eastAsia" w:asciiTheme="minorEastAsia" w:hAnsiTheme="minorEastAsia" w:eastAsiaTheme="minorEastAsia" w:cstheme="minorEastAsia"/>
          <w:b/>
          <w:bCs/>
          <w:sz w:val="32"/>
          <w:szCs w:val="32"/>
        </w:rPr>
      </w:pPr>
    </w:p>
    <w:p w14:paraId="7FACAA07">
      <w:pPr>
        <w:jc w:val="center"/>
        <w:rPr>
          <w:rFonts w:hint="eastAsia" w:asciiTheme="minorEastAsia" w:hAnsiTheme="minorEastAsia" w:eastAsiaTheme="minorEastAsia" w:cstheme="minorEastAsia"/>
          <w:b/>
          <w:bCs/>
          <w:sz w:val="32"/>
          <w:szCs w:val="32"/>
        </w:rPr>
      </w:pPr>
    </w:p>
    <w:p w14:paraId="0815CDBD">
      <w:pPr>
        <w:jc w:val="center"/>
        <w:rPr>
          <w:rFonts w:hint="eastAsia" w:asciiTheme="minorEastAsia" w:hAnsiTheme="minorEastAsia" w:eastAsiaTheme="minorEastAsia" w:cstheme="minorEastAsia"/>
          <w:b/>
          <w:bCs/>
          <w:sz w:val="32"/>
          <w:szCs w:val="32"/>
        </w:rPr>
      </w:pPr>
    </w:p>
    <w:p w14:paraId="5CBA415C">
      <w:pPr>
        <w:jc w:val="center"/>
        <w:rPr>
          <w:rFonts w:hint="eastAsia" w:asciiTheme="minorEastAsia" w:hAnsiTheme="minorEastAsia" w:eastAsiaTheme="minorEastAsia" w:cstheme="minorEastAsia"/>
          <w:b/>
          <w:bCs/>
          <w:sz w:val="32"/>
          <w:szCs w:val="32"/>
        </w:rPr>
      </w:pPr>
    </w:p>
    <w:p w14:paraId="25120724">
      <w:pPr>
        <w:spacing w:line="500" w:lineRule="exact"/>
        <w:jc w:val="center"/>
        <w:rPr>
          <w:rFonts w:hint="eastAsia"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rPr>
        <w:t>第一章  比选邀请函</w:t>
      </w:r>
    </w:p>
    <w:p w14:paraId="4ADD4732">
      <w:pPr>
        <w:spacing w:line="500" w:lineRule="exact"/>
        <w:jc w:val="both"/>
        <w:rPr>
          <w:rFonts w:hint="eastAsia" w:ascii="宋体" w:hAnsi="宋体" w:eastAsia="宋体" w:cs="宋体"/>
          <w:sz w:val="28"/>
          <w:szCs w:val="28"/>
          <w:u w:val="single"/>
        </w:rPr>
      </w:pPr>
      <w:r>
        <w:rPr>
          <w:rFonts w:hint="eastAsia" w:ascii="宋体" w:hAnsi="宋体" w:eastAsia="宋体" w:cs="宋体"/>
          <w:sz w:val="28"/>
          <w:szCs w:val="28"/>
        </w:rPr>
        <w:t>xxxxxxx公司：</w:t>
      </w:r>
    </w:p>
    <w:p w14:paraId="3FDB0252">
      <w:pPr>
        <w:autoSpaceDE/>
        <w:autoSpaceDN/>
        <w:spacing w:line="500" w:lineRule="exact"/>
        <w:ind w:firstLine="560" w:firstLineChars="200"/>
        <w:jc w:val="both"/>
        <w:rPr>
          <w:rFonts w:hint="eastAsia" w:ascii="宋体" w:hAnsi="宋体" w:eastAsia="宋体" w:cs="宋体"/>
          <w:sz w:val="28"/>
          <w:szCs w:val="28"/>
        </w:rPr>
      </w:pPr>
      <w:r>
        <w:rPr>
          <w:rFonts w:hint="eastAsia" w:ascii="宋体" w:hAnsi="宋体" w:eastAsia="宋体" w:cs="宋体"/>
          <w:sz w:val="28"/>
          <w:szCs w:val="28"/>
        </w:rPr>
        <w:t>我校拟对</w:t>
      </w:r>
      <w:r>
        <w:rPr>
          <w:rFonts w:hint="eastAsia" w:ascii="宋体" w:hAnsi="宋体" w:eastAsia="宋体" w:cs="宋体"/>
          <w:bCs/>
          <w:sz w:val="28"/>
          <w:szCs w:val="28"/>
          <w:u w:val="single"/>
        </w:rPr>
        <w:t>宁德职业技术学院消防维保</w:t>
      </w:r>
      <w:r>
        <w:rPr>
          <w:rFonts w:hint="eastAsia" w:ascii="宋体" w:hAnsi="宋体" w:eastAsia="宋体" w:cs="宋体"/>
          <w:sz w:val="28"/>
          <w:szCs w:val="28"/>
        </w:rPr>
        <w:t>进行询价比选 ，现诚邀贵公司参与此次询价比选。</w:t>
      </w:r>
    </w:p>
    <w:p w14:paraId="02AFD47E">
      <w:pPr>
        <w:autoSpaceDE/>
        <w:autoSpaceDN/>
        <w:spacing w:line="500" w:lineRule="exact"/>
        <w:ind w:firstLine="560" w:firstLineChars="200"/>
        <w:jc w:val="both"/>
        <w:rPr>
          <w:rFonts w:hint="eastAsia" w:ascii="宋体" w:hAnsi="宋体" w:eastAsia="宋体" w:cs="宋体"/>
          <w:sz w:val="28"/>
          <w:szCs w:val="28"/>
        </w:rPr>
      </w:pPr>
      <w:r>
        <w:rPr>
          <w:rFonts w:hint="eastAsia" w:ascii="宋体" w:hAnsi="宋体" w:eastAsia="宋体" w:cs="宋体"/>
          <w:sz w:val="28"/>
          <w:szCs w:val="28"/>
        </w:rPr>
        <w:t>一、</w:t>
      </w:r>
      <w:r>
        <w:rPr>
          <w:rFonts w:hint="eastAsia" w:ascii="宋体" w:hAnsi="宋体" w:eastAsia="宋体" w:cs="宋体"/>
          <w:b/>
          <w:bCs/>
          <w:sz w:val="28"/>
          <w:szCs w:val="28"/>
        </w:rPr>
        <w:t>项目概况</w:t>
      </w:r>
      <w:r>
        <w:rPr>
          <w:rFonts w:hint="eastAsia" w:ascii="宋体" w:hAnsi="宋体" w:eastAsia="宋体" w:cs="宋体"/>
          <w:sz w:val="28"/>
          <w:szCs w:val="28"/>
        </w:rPr>
        <w:t>：</w:t>
      </w:r>
    </w:p>
    <w:p w14:paraId="603BE671">
      <w:pPr>
        <w:autoSpaceDE/>
        <w:autoSpaceDN/>
        <w:spacing w:line="500" w:lineRule="exact"/>
        <w:ind w:firstLine="560" w:firstLineChars="200"/>
        <w:jc w:val="both"/>
        <w:rPr>
          <w:rFonts w:hint="eastAsia" w:ascii="宋体" w:hAnsi="宋体" w:eastAsia="宋体" w:cs="宋体"/>
          <w:sz w:val="28"/>
          <w:szCs w:val="28"/>
        </w:rPr>
      </w:pPr>
      <w:r>
        <w:rPr>
          <w:rFonts w:hint="eastAsia" w:ascii="宋体" w:hAnsi="宋体" w:eastAsia="宋体" w:cs="宋体"/>
          <w:sz w:val="28"/>
          <w:szCs w:val="28"/>
        </w:rPr>
        <w:t>1、宁德职业技术学院总建筑面积约112522㎡。学校建筑包括教学楼、办公楼、宿舍楼、食堂等共23栋，</w:t>
      </w:r>
    </w:p>
    <w:p w14:paraId="07148009">
      <w:pPr>
        <w:autoSpaceDE/>
        <w:autoSpaceDN/>
        <w:spacing w:line="500" w:lineRule="exact"/>
        <w:ind w:firstLine="560" w:firstLineChars="200"/>
        <w:jc w:val="both"/>
        <w:rPr>
          <w:rFonts w:hint="eastAsia" w:ascii="宋体" w:hAnsi="宋体" w:eastAsia="宋体" w:cs="宋体"/>
          <w:sz w:val="28"/>
          <w:szCs w:val="28"/>
        </w:rPr>
      </w:pPr>
      <w:r>
        <w:rPr>
          <w:rFonts w:hint="eastAsia" w:ascii="宋体" w:hAnsi="宋体" w:eastAsia="宋体" w:cs="宋体"/>
          <w:sz w:val="28"/>
          <w:szCs w:val="28"/>
        </w:rPr>
        <w:t>2、招标控制价：</w:t>
      </w:r>
      <w:r>
        <w:rPr>
          <w:rFonts w:hint="eastAsia" w:ascii="宋体" w:hAnsi="宋体" w:eastAsia="宋体" w:cs="宋体"/>
          <w:sz w:val="28"/>
          <w:szCs w:val="28"/>
          <w:u w:val="single"/>
        </w:rPr>
        <w:t xml:space="preserve"> ¥80000元</w:t>
      </w:r>
      <w:r>
        <w:rPr>
          <w:rFonts w:hint="eastAsia" w:ascii="宋体" w:hAnsi="宋体" w:eastAsia="宋体" w:cs="宋体"/>
          <w:sz w:val="28"/>
          <w:szCs w:val="28"/>
        </w:rPr>
        <w:t xml:space="preserve"> 大写：</w:t>
      </w:r>
      <w:r>
        <w:rPr>
          <w:rFonts w:hint="eastAsia" w:ascii="宋体" w:hAnsi="宋体" w:eastAsia="宋体" w:cs="宋体"/>
          <w:sz w:val="28"/>
          <w:szCs w:val="28"/>
          <w:u w:val="single"/>
        </w:rPr>
        <w:t>捌万元</w:t>
      </w:r>
      <w:r>
        <w:rPr>
          <w:rFonts w:hint="eastAsia" w:ascii="宋体" w:hAnsi="宋体" w:eastAsia="宋体" w:cs="宋体"/>
          <w:sz w:val="28"/>
          <w:szCs w:val="28"/>
        </w:rPr>
        <w:t>整为最高限价。</w:t>
      </w:r>
    </w:p>
    <w:p w14:paraId="2FE35927">
      <w:pPr>
        <w:autoSpaceDE/>
        <w:autoSpaceDN/>
        <w:spacing w:line="500" w:lineRule="exact"/>
        <w:ind w:firstLine="560" w:firstLineChars="200"/>
        <w:jc w:val="both"/>
        <w:rPr>
          <w:rFonts w:hint="eastAsia" w:ascii="宋体" w:hAnsi="宋体" w:eastAsia="宋体" w:cs="宋体"/>
          <w:sz w:val="28"/>
          <w:szCs w:val="28"/>
        </w:rPr>
      </w:pPr>
      <w:r>
        <w:rPr>
          <w:rFonts w:hint="eastAsia" w:ascii="宋体" w:hAnsi="宋体" w:eastAsia="宋体" w:cs="宋体"/>
          <w:sz w:val="28"/>
          <w:szCs w:val="28"/>
        </w:rPr>
        <w:t>3、消防维护保养</w:t>
      </w:r>
      <w:r>
        <w:rPr>
          <w:rFonts w:hint="eastAsia" w:ascii="宋体" w:hAnsi="宋体" w:eastAsia="宋体" w:cs="宋体"/>
          <w:color w:val="000000"/>
          <w:sz w:val="28"/>
          <w:szCs w:val="28"/>
          <w:shd w:val="clear" w:color="auto" w:fill="FFFFFF"/>
          <w:lang w:bidi="ar"/>
        </w:rPr>
        <w:t>服务期限为1+1年，</w:t>
      </w:r>
      <w:r>
        <w:rPr>
          <w:rFonts w:hint="eastAsia" w:ascii="宋体" w:hAnsi="宋体" w:eastAsia="宋体" w:cs="宋体"/>
          <w:sz w:val="28"/>
          <w:szCs w:val="28"/>
        </w:rPr>
        <w:t>本次服务合同采用“1+1”模式，总年限最长可达二年。</w:t>
      </w:r>
    </w:p>
    <w:p w14:paraId="75BBCEBD">
      <w:pPr>
        <w:autoSpaceDE/>
        <w:autoSpaceDN/>
        <w:spacing w:line="500" w:lineRule="exact"/>
        <w:ind w:firstLine="560" w:firstLineChars="200"/>
        <w:jc w:val="both"/>
        <w:rPr>
          <w:rFonts w:hint="eastAsia" w:ascii="宋体" w:hAnsi="宋体" w:eastAsia="宋体" w:cs="宋体"/>
          <w:sz w:val="28"/>
          <w:szCs w:val="28"/>
        </w:rPr>
      </w:pPr>
      <w:r>
        <w:rPr>
          <w:rFonts w:hint="eastAsia" w:ascii="宋体" w:hAnsi="宋体" w:eastAsia="宋体" w:cs="宋体"/>
          <w:sz w:val="28"/>
          <w:szCs w:val="28"/>
        </w:rPr>
        <w:t>· 第一年：为首个固定服务期，双方签署正式合同。</w:t>
      </w:r>
    </w:p>
    <w:p w14:paraId="79539CFD">
      <w:pPr>
        <w:autoSpaceDE/>
        <w:autoSpaceDN/>
        <w:spacing w:line="500" w:lineRule="exact"/>
        <w:ind w:firstLine="560" w:firstLineChars="200"/>
        <w:jc w:val="both"/>
        <w:rPr>
          <w:rFonts w:hint="eastAsia" w:ascii="宋体" w:hAnsi="宋体" w:eastAsia="宋体" w:cs="宋体"/>
          <w:sz w:val="28"/>
          <w:szCs w:val="28"/>
        </w:rPr>
      </w:pPr>
      <w:r>
        <w:rPr>
          <w:rFonts w:hint="eastAsia" w:ascii="宋体" w:hAnsi="宋体" w:eastAsia="宋体" w:cs="宋体"/>
          <w:sz w:val="28"/>
          <w:szCs w:val="28"/>
        </w:rPr>
        <w:t>· 第二年：为可选续约期。</w:t>
      </w:r>
    </w:p>
    <w:p w14:paraId="71F06D93">
      <w:pPr>
        <w:autoSpaceDE/>
        <w:autoSpaceDN/>
        <w:spacing w:line="500" w:lineRule="exact"/>
        <w:ind w:firstLine="560" w:firstLineChars="200"/>
        <w:jc w:val="both"/>
        <w:rPr>
          <w:rFonts w:hint="eastAsia" w:ascii="宋体" w:hAnsi="宋体" w:eastAsia="宋体" w:cs="宋体"/>
          <w:sz w:val="28"/>
          <w:szCs w:val="28"/>
        </w:rPr>
      </w:pPr>
      <w:r>
        <w:rPr>
          <w:rFonts w:hint="eastAsia" w:ascii="宋体" w:hAnsi="宋体" w:eastAsia="宋体" w:cs="宋体"/>
          <w:sz w:val="28"/>
          <w:szCs w:val="28"/>
        </w:rPr>
        <w:t>· 续约机制：能否续约取决于年度绩效考核结果。在第一个服务年度结束前，甲方将组织考核，考核达标后方可续签下一年度的合同。若考核不达标，甲方有权终止合作。</w:t>
      </w:r>
    </w:p>
    <w:p w14:paraId="0E4C3113">
      <w:pPr>
        <w:autoSpaceDE/>
        <w:autoSpaceDN/>
        <w:spacing w:line="500" w:lineRule="exact"/>
        <w:ind w:firstLine="560" w:firstLineChars="200"/>
        <w:jc w:val="both"/>
        <w:rPr>
          <w:rFonts w:hint="eastAsia" w:ascii="宋体" w:hAnsi="宋体" w:eastAsia="宋体" w:cs="宋体"/>
          <w:sz w:val="28"/>
          <w:szCs w:val="28"/>
          <w:u w:val="single"/>
        </w:rPr>
      </w:pPr>
      <w:r>
        <w:rPr>
          <w:rFonts w:hint="eastAsia" w:ascii="宋体" w:hAnsi="宋体" w:eastAsia="宋体" w:cs="宋体"/>
          <w:sz w:val="28"/>
          <w:szCs w:val="28"/>
        </w:rPr>
        <w:t>4、评标办法：邀请比选，最低价中标。</w:t>
      </w:r>
    </w:p>
    <w:p w14:paraId="2220B8BB">
      <w:pPr>
        <w:widowControl/>
        <w:shd w:val="clear" w:color="auto" w:fill="FFFFFF"/>
        <w:spacing w:line="500" w:lineRule="exact"/>
        <w:ind w:firstLine="562"/>
        <w:rPr>
          <w:rFonts w:hint="eastAsia" w:ascii="宋体" w:hAnsi="宋体" w:eastAsia="宋体" w:cs="宋体"/>
          <w:color w:val="000000"/>
          <w:sz w:val="28"/>
          <w:szCs w:val="28"/>
        </w:rPr>
      </w:pPr>
      <w:r>
        <w:rPr>
          <w:rFonts w:hint="eastAsia" w:ascii="宋体" w:hAnsi="宋体" w:eastAsia="宋体" w:cs="宋体"/>
          <w:b/>
          <w:bCs/>
          <w:color w:val="000000"/>
          <w:sz w:val="28"/>
          <w:szCs w:val="28"/>
          <w:shd w:val="clear" w:color="auto" w:fill="FFFFFF"/>
          <w:lang w:bidi="ar"/>
        </w:rPr>
        <w:t>二、服务商应具备的资格条件：</w:t>
      </w:r>
    </w:p>
    <w:p w14:paraId="512CD988">
      <w:pPr>
        <w:widowControl/>
        <w:shd w:val="clear" w:color="auto" w:fill="FFFFFF"/>
        <w:spacing w:line="500" w:lineRule="exact"/>
        <w:ind w:firstLine="560"/>
        <w:rPr>
          <w:rFonts w:hint="eastAsia" w:ascii="宋体" w:hAnsi="宋体" w:eastAsia="宋体" w:cs="宋体"/>
          <w:color w:val="000000"/>
          <w:sz w:val="28"/>
          <w:szCs w:val="28"/>
        </w:rPr>
      </w:pPr>
      <w:r>
        <w:rPr>
          <w:rFonts w:hint="eastAsia" w:ascii="宋体" w:hAnsi="宋体" w:eastAsia="宋体" w:cs="宋体"/>
          <w:color w:val="000000"/>
          <w:sz w:val="28"/>
          <w:szCs w:val="28"/>
          <w:shd w:val="clear" w:color="auto" w:fill="FFFFFF"/>
          <w:lang w:bidi="ar"/>
        </w:rPr>
        <w:t>（一）服务商应符合参加本次比选活动应当具备的条件：</w:t>
      </w:r>
    </w:p>
    <w:p w14:paraId="28D38E0A">
      <w:pPr>
        <w:widowControl/>
        <w:shd w:val="clear" w:color="auto" w:fill="FFFFFF"/>
        <w:spacing w:line="500" w:lineRule="exact"/>
        <w:ind w:firstLine="560"/>
        <w:rPr>
          <w:rFonts w:hint="eastAsia" w:ascii="宋体" w:hAnsi="宋体" w:eastAsia="宋体" w:cs="宋体"/>
          <w:color w:val="000000"/>
          <w:sz w:val="28"/>
          <w:szCs w:val="28"/>
        </w:rPr>
      </w:pPr>
      <w:r>
        <w:rPr>
          <w:rFonts w:hint="eastAsia" w:ascii="宋体" w:hAnsi="宋体" w:eastAsia="宋体" w:cs="宋体"/>
          <w:color w:val="000000"/>
          <w:sz w:val="28"/>
          <w:szCs w:val="28"/>
          <w:shd w:val="clear" w:color="auto" w:fill="FFFFFF"/>
          <w:lang w:bidi="ar"/>
        </w:rPr>
        <w:t>1、具有独立承担民事责任能力；</w:t>
      </w:r>
    </w:p>
    <w:p w14:paraId="0F6D9F98">
      <w:pPr>
        <w:widowControl/>
        <w:shd w:val="clear" w:color="auto" w:fill="FFFFFF"/>
        <w:spacing w:line="500" w:lineRule="exact"/>
        <w:ind w:firstLine="560"/>
        <w:rPr>
          <w:rFonts w:hint="eastAsia" w:ascii="宋体" w:hAnsi="宋体" w:eastAsia="宋体" w:cs="宋体"/>
          <w:color w:val="000000"/>
          <w:sz w:val="28"/>
          <w:szCs w:val="28"/>
        </w:rPr>
      </w:pPr>
      <w:r>
        <w:rPr>
          <w:rFonts w:hint="eastAsia" w:ascii="宋体" w:hAnsi="宋体" w:eastAsia="宋体" w:cs="宋体"/>
          <w:color w:val="000000"/>
          <w:sz w:val="28"/>
          <w:szCs w:val="28"/>
          <w:shd w:val="clear" w:color="auto" w:fill="FFFFFF"/>
          <w:lang w:bidi="ar"/>
        </w:rPr>
        <w:t>2、具有履行合同所必须的设备和专业技术能力；</w:t>
      </w:r>
    </w:p>
    <w:p w14:paraId="16CF94A3">
      <w:pPr>
        <w:widowControl/>
        <w:shd w:val="clear" w:color="auto" w:fill="FFFFFF"/>
        <w:spacing w:line="500" w:lineRule="exact"/>
        <w:ind w:firstLine="560"/>
        <w:rPr>
          <w:rFonts w:hint="eastAsia" w:ascii="宋体" w:hAnsi="宋体" w:eastAsia="宋体" w:cs="宋体"/>
          <w:color w:val="000000"/>
          <w:sz w:val="28"/>
          <w:szCs w:val="28"/>
        </w:rPr>
      </w:pPr>
      <w:r>
        <w:rPr>
          <w:rFonts w:hint="eastAsia" w:ascii="宋体" w:hAnsi="宋体" w:eastAsia="宋体" w:cs="宋体"/>
          <w:color w:val="000000"/>
          <w:sz w:val="28"/>
          <w:szCs w:val="28"/>
          <w:shd w:val="clear" w:color="auto" w:fill="FFFFFF"/>
          <w:lang w:bidi="ar"/>
        </w:rPr>
        <w:t>3、参加比选活动前三年内，在经营活动中没有重大违法记录，遵守相关的法律和法规。</w:t>
      </w:r>
    </w:p>
    <w:p w14:paraId="1443452C">
      <w:pPr>
        <w:pStyle w:val="6"/>
        <w:widowControl/>
        <w:shd w:val="clear" w:color="auto" w:fill="FFFFFF"/>
        <w:spacing w:before="0" w:beforeAutospacing="0" w:after="0" w:afterAutospacing="0" w:line="500" w:lineRule="exact"/>
        <w:ind w:firstLine="560"/>
        <w:rPr>
          <w:rFonts w:hint="eastAsia" w:ascii="宋体" w:hAnsi="宋体" w:eastAsia="宋体" w:cs="宋体"/>
          <w:color w:val="000000"/>
          <w:sz w:val="28"/>
          <w:szCs w:val="28"/>
          <w:shd w:val="clear" w:color="auto" w:fill="FFFFFF"/>
        </w:rPr>
      </w:pPr>
      <w:r>
        <w:rPr>
          <w:rFonts w:hint="eastAsia" w:ascii="宋体" w:hAnsi="宋体" w:eastAsia="宋体" w:cs="宋体"/>
          <w:color w:val="000000"/>
          <w:sz w:val="28"/>
          <w:szCs w:val="28"/>
          <w:shd w:val="clear" w:color="auto" w:fill="FFFFFF"/>
        </w:rPr>
        <w:t>4、被列入失信被执行人、重大税收违法案件当事人名单、采购严重违法失信行为记录名单且禁止进入政府市场的处罚还在有效期内的服务商不得参与本次采购活动。相关主体信用记录以“信用中国”网站（www.creditchina.gov.cn）网站查询结果为准。</w:t>
      </w:r>
    </w:p>
    <w:p w14:paraId="67C6EFAD">
      <w:pPr>
        <w:widowControl/>
        <w:shd w:val="clear" w:color="auto" w:fill="FFFFFF"/>
        <w:spacing w:line="500" w:lineRule="exact"/>
        <w:ind w:left="3115" w:leftChars="266" w:hanging="2530" w:hangingChars="900"/>
        <w:rPr>
          <w:rFonts w:hint="eastAsia" w:ascii="宋体" w:hAnsi="宋体" w:eastAsia="宋体" w:cs="宋体"/>
          <w:color w:val="000000"/>
          <w:sz w:val="28"/>
          <w:szCs w:val="28"/>
          <w:shd w:val="clear" w:color="auto" w:fill="FFFFFF"/>
          <w:lang w:bidi="ar"/>
        </w:rPr>
      </w:pPr>
      <w:r>
        <w:rPr>
          <w:rFonts w:hint="eastAsia" w:ascii="宋体" w:hAnsi="宋体" w:eastAsia="宋体" w:cs="宋体"/>
          <w:b/>
          <w:bCs/>
          <w:color w:val="000000"/>
          <w:sz w:val="28"/>
          <w:szCs w:val="28"/>
          <w:shd w:val="clear" w:color="auto" w:fill="FFFFFF"/>
          <w:lang w:bidi="ar"/>
        </w:rPr>
        <w:t>三、服务商报名地点:</w:t>
      </w:r>
      <w:r>
        <w:rPr>
          <w:rFonts w:hint="eastAsia" w:ascii="宋体" w:hAnsi="宋体" w:eastAsia="宋体" w:cs="宋体"/>
          <w:color w:val="000000"/>
          <w:sz w:val="28"/>
          <w:szCs w:val="28"/>
          <w:shd w:val="clear" w:color="auto" w:fill="FFFFFF"/>
          <w:lang w:bidi="ar"/>
        </w:rPr>
        <w:t>福安市宁德职业技术学院安全保卫处</w:t>
      </w:r>
    </w:p>
    <w:p w14:paraId="4B2309D3">
      <w:pPr>
        <w:widowControl/>
        <w:shd w:val="clear" w:color="auto" w:fill="FFFFFF"/>
        <w:spacing w:line="500" w:lineRule="exact"/>
        <w:ind w:left="3115" w:leftChars="266" w:hanging="2530" w:hangingChars="900"/>
        <w:rPr>
          <w:rFonts w:hint="eastAsia" w:ascii="宋体" w:hAnsi="宋体" w:eastAsia="宋体" w:cs="宋体"/>
          <w:b/>
          <w:bCs/>
          <w:color w:val="000000"/>
          <w:sz w:val="28"/>
          <w:szCs w:val="28"/>
          <w:shd w:val="clear" w:color="auto" w:fill="FFFFFF"/>
          <w:lang w:bidi="ar"/>
        </w:rPr>
      </w:pPr>
    </w:p>
    <w:p w14:paraId="6FB0592F">
      <w:pPr>
        <w:widowControl/>
        <w:shd w:val="clear" w:color="auto" w:fill="FFFFFF"/>
        <w:spacing w:line="500" w:lineRule="exact"/>
        <w:ind w:left="3115" w:leftChars="266" w:hanging="2530" w:hangingChars="900"/>
        <w:rPr>
          <w:rFonts w:hint="eastAsia" w:ascii="宋体" w:hAnsi="宋体" w:eastAsia="宋体" w:cs="宋体"/>
          <w:color w:val="000000"/>
          <w:sz w:val="28"/>
          <w:szCs w:val="28"/>
        </w:rPr>
      </w:pPr>
      <w:r>
        <w:rPr>
          <w:rFonts w:hint="eastAsia" w:ascii="宋体" w:hAnsi="宋体" w:eastAsia="宋体" w:cs="宋体"/>
          <w:b/>
          <w:bCs/>
          <w:color w:val="000000"/>
          <w:sz w:val="28"/>
          <w:szCs w:val="28"/>
          <w:shd w:val="clear" w:color="auto" w:fill="FFFFFF"/>
          <w:lang w:bidi="ar"/>
        </w:rPr>
        <w:t>四、递交报价响应文件截止时间：2025</w:t>
      </w:r>
      <w:r>
        <w:rPr>
          <w:rFonts w:hint="eastAsia" w:ascii="宋体" w:hAnsi="宋体" w:eastAsia="宋体" w:cs="宋体"/>
          <w:color w:val="000000"/>
          <w:sz w:val="28"/>
          <w:szCs w:val="28"/>
          <w:shd w:val="clear" w:color="auto" w:fill="FFFFFF"/>
          <w:lang w:bidi="ar"/>
        </w:rPr>
        <w:t>年1</w:t>
      </w:r>
      <w:r>
        <w:rPr>
          <w:rFonts w:hint="eastAsia" w:ascii="宋体" w:hAnsi="宋体" w:eastAsia="宋体" w:cs="宋体"/>
          <w:color w:val="000000"/>
          <w:sz w:val="28"/>
          <w:szCs w:val="28"/>
          <w:shd w:val="clear" w:color="auto" w:fill="FFFFFF"/>
          <w:lang w:val="en-US" w:eastAsia="zh-CN" w:bidi="ar"/>
        </w:rPr>
        <w:t>2</w:t>
      </w:r>
      <w:r>
        <w:rPr>
          <w:rFonts w:hint="eastAsia" w:ascii="宋体" w:hAnsi="宋体" w:eastAsia="宋体" w:cs="宋体"/>
          <w:color w:val="000000"/>
          <w:sz w:val="28"/>
          <w:szCs w:val="28"/>
          <w:shd w:val="clear" w:color="auto" w:fill="FFFFFF"/>
          <w:lang w:bidi="ar"/>
        </w:rPr>
        <w:t>月</w:t>
      </w:r>
      <w:r>
        <w:rPr>
          <w:rFonts w:hint="eastAsia" w:ascii="宋体" w:hAnsi="宋体" w:eastAsia="宋体" w:cs="宋体"/>
          <w:color w:val="000000"/>
          <w:sz w:val="28"/>
          <w:szCs w:val="28"/>
          <w:shd w:val="clear" w:color="auto" w:fill="FFFFFF"/>
          <w:lang w:val="en-US" w:eastAsia="zh-CN" w:bidi="ar"/>
        </w:rPr>
        <w:t>1</w:t>
      </w:r>
      <w:r>
        <w:rPr>
          <w:rFonts w:hint="eastAsia" w:ascii="宋体" w:hAnsi="宋体" w:eastAsia="宋体" w:cs="宋体"/>
          <w:color w:val="000000"/>
          <w:sz w:val="28"/>
          <w:szCs w:val="28"/>
          <w:shd w:val="clear" w:color="auto" w:fill="FFFFFF"/>
          <w:lang w:bidi="ar"/>
        </w:rPr>
        <w:t xml:space="preserve">日17：30   </w:t>
      </w:r>
    </w:p>
    <w:p w14:paraId="656D6CEC">
      <w:pPr>
        <w:widowControl/>
        <w:shd w:val="clear" w:color="auto" w:fill="FFFFFF"/>
        <w:spacing w:line="500" w:lineRule="exact"/>
        <w:ind w:firstLine="562"/>
        <w:rPr>
          <w:rFonts w:hint="eastAsia" w:ascii="宋体" w:hAnsi="宋体" w:eastAsia="宋体" w:cs="宋体"/>
          <w:color w:val="000000"/>
          <w:sz w:val="28"/>
          <w:szCs w:val="28"/>
          <w:shd w:val="clear" w:color="auto" w:fill="FFFFFF"/>
          <w:lang w:bidi="ar"/>
        </w:rPr>
      </w:pPr>
      <w:r>
        <w:rPr>
          <w:rFonts w:hint="eastAsia" w:ascii="宋体" w:hAnsi="宋体" w:eastAsia="宋体" w:cs="宋体"/>
          <w:color w:val="000000"/>
          <w:sz w:val="28"/>
          <w:szCs w:val="28"/>
          <w:shd w:val="clear" w:color="auto" w:fill="FFFFFF"/>
          <w:lang w:bidi="ar"/>
        </w:rPr>
        <w:t>服务商应于当日截止时间前将报价响应文件送达比选地点，逾期送达或没有密封的报价响应文件不予接收。（文件接收时间：截止2025 年 1</w:t>
      </w:r>
      <w:r>
        <w:rPr>
          <w:rFonts w:hint="eastAsia" w:ascii="宋体" w:hAnsi="宋体" w:eastAsia="宋体" w:cs="宋体"/>
          <w:color w:val="000000"/>
          <w:sz w:val="28"/>
          <w:szCs w:val="28"/>
          <w:shd w:val="clear" w:color="auto" w:fill="FFFFFF"/>
          <w:lang w:val="en-US" w:eastAsia="zh-CN" w:bidi="ar"/>
        </w:rPr>
        <w:t>2</w:t>
      </w:r>
      <w:r>
        <w:rPr>
          <w:rFonts w:hint="eastAsia" w:ascii="宋体" w:hAnsi="宋体" w:eastAsia="宋体" w:cs="宋体"/>
          <w:color w:val="000000"/>
          <w:sz w:val="28"/>
          <w:szCs w:val="28"/>
          <w:shd w:val="clear" w:color="auto" w:fill="FFFFFF"/>
          <w:lang w:bidi="ar"/>
        </w:rPr>
        <w:t xml:space="preserve">月 </w:t>
      </w:r>
      <w:r>
        <w:rPr>
          <w:rFonts w:hint="eastAsia" w:ascii="宋体" w:hAnsi="宋体" w:eastAsia="宋体" w:cs="宋体"/>
          <w:color w:val="000000"/>
          <w:sz w:val="28"/>
          <w:szCs w:val="28"/>
          <w:shd w:val="clear" w:color="auto" w:fill="FFFFFF"/>
          <w:lang w:val="en-US" w:eastAsia="zh-CN" w:bidi="ar"/>
        </w:rPr>
        <w:t>1</w:t>
      </w:r>
      <w:r>
        <w:rPr>
          <w:rFonts w:hint="eastAsia" w:ascii="宋体" w:hAnsi="宋体" w:eastAsia="宋体" w:cs="宋体"/>
          <w:color w:val="000000"/>
          <w:sz w:val="28"/>
          <w:szCs w:val="28"/>
          <w:shd w:val="clear" w:color="auto" w:fill="FFFFFF"/>
          <w:lang w:bidi="ar"/>
        </w:rPr>
        <w:t>日 1</w:t>
      </w:r>
      <w:r>
        <w:rPr>
          <w:rFonts w:hint="eastAsia" w:ascii="宋体" w:hAnsi="宋体" w:eastAsia="宋体" w:cs="宋体"/>
          <w:color w:val="000000"/>
          <w:sz w:val="28"/>
          <w:szCs w:val="28"/>
          <w:shd w:val="clear" w:color="auto" w:fill="FFFFFF"/>
          <w:lang w:val="en-US" w:eastAsia="zh-CN" w:bidi="ar"/>
        </w:rPr>
        <w:t>7</w:t>
      </w:r>
      <w:r>
        <w:rPr>
          <w:rFonts w:hint="eastAsia" w:ascii="宋体" w:hAnsi="宋体" w:eastAsia="宋体" w:cs="宋体"/>
          <w:color w:val="000000"/>
          <w:sz w:val="28"/>
          <w:szCs w:val="28"/>
          <w:shd w:val="clear" w:color="auto" w:fill="FFFFFF"/>
          <w:lang w:bidi="ar"/>
        </w:rPr>
        <w:t>：30 ）。</w:t>
      </w:r>
    </w:p>
    <w:p w14:paraId="34DE8F66">
      <w:pPr>
        <w:widowControl/>
        <w:numPr>
          <w:ilvl w:val="0"/>
          <w:numId w:val="3"/>
        </w:numPr>
        <w:shd w:val="clear" w:color="auto" w:fill="FFFFFF"/>
        <w:spacing w:line="500" w:lineRule="exact"/>
        <w:ind w:firstLine="562"/>
        <w:rPr>
          <w:rFonts w:hint="eastAsia" w:ascii="宋体" w:hAnsi="宋体" w:eastAsia="宋体" w:cs="宋体"/>
          <w:color w:val="000000"/>
          <w:sz w:val="28"/>
          <w:szCs w:val="28"/>
          <w:shd w:val="clear" w:color="auto" w:fill="FFFFFF"/>
          <w:lang w:bidi="ar"/>
        </w:rPr>
      </w:pPr>
      <w:r>
        <w:rPr>
          <w:rFonts w:hint="eastAsia" w:ascii="宋体" w:hAnsi="宋体" w:eastAsia="宋体" w:cs="宋体"/>
          <w:b/>
          <w:bCs/>
          <w:color w:val="000000"/>
          <w:sz w:val="28"/>
          <w:szCs w:val="28"/>
          <w:shd w:val="clear" w:color="auto" w:fill="FFFFFF"/>
          <w:lang w:bidi="ar"/>
        </w:rPr>
        <w:t>递交报价响应文件地点：</w:t>
      </w:r>
      <w:r>
        <w:rPr>
          <w:rFonts w:hint="eastAsia" w:ascii="宋体" w:hAnsi="宋体" w:eastAsia="宋体" w:cs="宋体"/>
          <w:color w:val="000000"/>
          <w:sz w:val="28"/>
          <w:szCs w:val="28"/>
          <w:shd w:val="clear" w:color="auto" w:fill="FFFFFF"/>
          <w:lang w:bidi="ar"/>
        </w:rPr>
        <w:t>宁德职业技术学院安全保卫处。</w:t>
      </w:r>
    </w:p>
    <w:p w14:paraId="6B4F464E">
      <w:pPr>
        <w:widowControl/>
        <w:shd w:val="clear" w:color="auto" w:fill="FFFFFF"/>
        <w:spacing w:line="500" w:lineRule="exact"/>
        <w:ind w:firstLine="562" w:firstLineChars="200"/>
        <w:rPr>
          <w:rFonts w:hint="eastAsia" w:ascii="宋体" w:hAnsi="宋体" w:eastAsia="宋体" w:cs="宋体"/>
          <w:color w:val="000000"/>
          <w:sz w:val="28"/>
          <w:szCs w:val="28"/>
        </w:rPr>
      </w:pPr>
      <w:r>
        <w:rPr>
          <w:rFonts w:hint="eastAsia" w:ascii="宋体" w:hAnsi="宋体" w:eastAsia="宋体" w:cs="宋体"/>
          <w:b/>
          <w:bCs/>
          <w:color w:val="000000"/>
          <w:sz w:val="28"/>
          <w:szCs w:val="28"/>
          <w:shd w:val="clear" w:color="auto" w:fill="FFFFFF"/>
          <w:lang w:bidi="ar"/>
        </w:rPr>
        <w:t>六、联系人及联系电话：</w:t>
      </w:r>
    </w:p>
    <w:p w14:paraId="5FBA8CD4">
      <w:pPr>
        <w:widowControl/>
        <w:shd w:val="clear" w:color="auto" w:fill="FFFFFF"/>
        <w:spacing w:line="500" w:lineRule="exact"/>
        <w:ind w:firstLine="560"/>
        <w:rPr>
          <w:rFonts w:hint="eastAsia" w:ascii="宋体" w:hAnsi="宋体" w:eastAsia="宋体" w:cs="宋体"/>
          <w:color w:val="000000"/>
          <w:sz w:val="28"/>
          <w:szCs w:val="28"/>
          <w:shd w:val="clear" w:color="auto" w:fill="FFFFFF"/>
          <w:lang w:bidi="ar"/>
        </w:rPr>
      </w:pPr>
      <w:r>
        <w:rPr>
          <w:rFonts w:hint="eastAsia" w:ascii="宋体" w:hAnsi="宋体" w:eastAsia="宋体" w:cs="宋体"/>
          <w:color w:val="000000"/>
          <w:sz w:val="28"/>
          <w:szCs w:val="28"/>
          <w:shd w:val="clear" w:color="auto" w:fill="FFFFFF"/>
          <w:lang w:bidi="ar"/>
        </w:rPr>
        <w:t>采 购 人：宁德职业技术学院</w:t>
      </w:r>
    </w:p>
    <w:p w14:paraId="07E37244">
      <w:pPr>
        <w:widowControl/>
        <w:shd w:val="clear" w:color="auto" w:fill="FFFFFF"/>
        <w:spacing w:line="500" w:lineRule="exact"/>
        <w:ind w:firstLine="560"/>
        <w:rPr>
          <w:rFonts w:hint="default" w:ascii="宋体" w:hAnsi="宋体" w:eastAsia="宋体" w:cs="宋体"/>
          <w:color w:val="000000"/>
          <w:sz w:val="28"/>
          <w:szCs w:val="28"/>
          <w:shd w:val="clear" w:color="auto" w:fill="FFFFFF"/>
          <w:lang w:val="en-US" w:eastAsia="zh-CN" w:bidi="ar"/>
        </w:rPr>
      </w:pPr>
      <w:r>
        <w:rPr>
          <w:rFonts w:hint="eastAsia" w:ascii="宋体" w:hAnsi="宋体" w:eastAsia="宋体" w:cs="宋体"/>
          <w:color w:val="000000"/>
          <w:sz w:val="28"/>
          <w:szCs w:val="28"/>
          <w:shd w:val="clear" w:color="auto" w:fill="FFFFFF"/>
          <w:lang w:bidi="ar"/>
        </w:rPr>
        <w:t>联 系 人：</w:t>
      </w:r>
      <w:r>
        <w:rPr>
          <w:rFonts w:hint="eastAsia" w:ascii="宋体" w:hAnsi="宋体" w:eastAsia="宋体" w:cs="宋体"/>
          <w:color w:val="000000"/>
          <w:sz w:val="28"/>
          <w:szCs w:val="28"/>
          <w:shd w:val="clear" w:color="auto" w:fill="FFFFFF"/>
          <w:lang w:val="en-US" w:eastAsia="zh-CN" w:bidi="ar"/>
        </w:rPr>
        <w:t>连老师</w:t>
      </w:r>
      <w:bookmarkStart w:id="2" w:name="_GoBack"/>
      <w:bookmarkEnd w:id="2"/>
    </w:p>
    <w:p w14:paraId="7849CC81">
      <w:pPr>
        <w:widowControl/>
        <w:shd w:val="clear" w:color="auto" w:fill="FFFFFF"/>
        <w:spacing w:line="500" w:lineRule="exact"/>
        <w:ind w:firstLine="560"/>
        <w:rPr>
          <w:rFonts w:hint="eastAsia" w:ascii="宋体" w:hAnsi="宋体" w:eastAsia="宋体" w:cs="宋体"/>
          <w:color w:val="000000"/>
          <w:sz w:val="28"/>
          <w:szCs w:val="28"/>
          <w:shd w:val="clear" w:color="auto" w:fill="FFFFFF"/>
          <w:lang w:bidi="ar"/>
        </w:rPr>
      </w:pPr>
      <w:r>
        <w:rPr>
          <w:rFonts w:hint="eastAsia" w:ascii="宋体" w:hAnsi="宋体" w:eastAsia="宋体" w:cs="宋体"/>
          <w:color w:val="000000"/>
          <w:sz w:val="28"/>
          <w:szCs w:val="28"/>
          <w:shd w:val="clear" w:color="auto" w:fill="FFFFFF"/>
          <w:lang w:bidi="ar"/>
        </w:rPr>
        <w:t>联系电话：18859306516</w:t>
      </w:r>
    </w:p>
    <w:p w14:paraId="1C778976">
      <w:pPr>
        <w:widowControl/>
        <w:shd w:val="clear" w:color="auto" w:fill="FFFFFF"/>
        <w:spacing w:line="500" w:lineRule="exact"/>
        <w:ind w:firstLine="560"/>
        <w:rPr>
          <w:rFonts w:hint="eastAsia" w:ascii="宋体" w:hAnsi="宋体" w:eastAsia="宋体" w:cs="宋体"/>
          <w:color w:val="000000"/>
          <w:sz w:val="28"/>
          <w:szCs w:val="28"/>
        </w:rPr>
      </w:pPr>
      <w:r>
        <w:rPr>
          <w:rFonts w:hint="eastAsia" w:ascii="宋体" w:hAnsi="宋体" w:eastAsia="宋体" w:cs="宋体"/>
          <w:color w:val="000000"/>
          <w:sz w:val="28"/>
          <w:szCs w:val="28"/>
          <w:shd w:val="clear" w:color="auto" w:fill="FFFFFF"/>
          <w:lang w:bidi="ar"/>
        </w:rPr>
        <w:t>通讯地址：福安市福泰路232号宁德职业技术学院安全保卫处</w:t>
      </w:r>
    </w:p>
    <w:p w14:paraId="4CFE1B0E">
      <w:pPr>
        <w:widowControl/>
        <w:shd w:val="clear" w:color="auto" w:fill="FFFFFF"/>
        <w:spacing w:line="500" w:lineRule="exact"/>
        <w:ind w:left="4225" w:leftChars="266" w:hanging="3640" w:hangingChars="1300"/>
        <w:rPr>
          <w:rFonts w:hint="eastAsia" w:ascii="宋体" w:hAnsi="宋体" w:eastAsia="宋体" w:cs="宋体"/>
          <w:color w:val="000000"/>
          <w:sz w:val="28"/>
          <w:szCs w:val="28"/>
        </w:rPr>
      </w:pPr>
    </w:p>
    <w:p w14:paraId="111ACDB4">
      <w:pPr>
        <w:pStyle w:val="6"/>
        <w:widowControl/>
        <w:shd w:val="clear" w:color="auto" w:fill="FFFFFF"/>
        <w:spacing w:before="0" w:beforeAutospacing="0" w:after="0" w:afterAutospacing="0" w:line="500" w:lineRule="exact"/>
        <w:ind w:firstLine="560"/>
        <w:rPr>
          <w:rFonts w:hint="eastAsia" w:ascii="宋体" w:hAnsi="宋体" w:eastAsia="宋体" w:cs="宋体"/>
          <w:color w:val="000000"/>
          <w:sz w:val="28"/>
          <w:szCs w:val="28"/>
        </w:rPr>
      </w:pPr>
    </w:p>
    <w:p w14:paraId="357B202A">
      <w:pPr>
        <w:autoSpaceDE/>
        <w:autoSpaceDN/>
        <w:spacing w:line="500" w:lineRule="exact"/>
        <w:ind w:firstLine="5600" w:firstLineChars="2000"/>
        <w:rPr>
          <w:rFonts w:hint="eastAsia" w:ascii="宋体" w:hAnsi="宋体" w:eastAsia="宋体" w:cs="宋体"/>
          <w:sz w:val="28"/>
          <w:szCs w:val="28"/>
        </w:rPr>
      </w:pPr>
    </w:p>
    <w:p w14:paraId="16C8BD6A">
      <w:pPr>
        <w:spacing w:line="500" w:lineRule="exact"/>
        <w:jc w:val="center"/>
        <w:rPr>
          <w:rFonts w:hint="eastAsia" w:ascii="宋体" w:hAnsi="宋体" w:eastAsia="宋体" w:cs="宋体"/>
          <w:b/>
          <w:bCs/>
          <w:sz w:val="28"/>
          <w:szCs w:val="28"/>
        </w:rPr>
      </w:pPr>
    </w:p>
    <w:p w14:paraId="27A2E595">
      <w:pPr>
        <w:spacing w:line="500" w:lineRule="exact"/>
        <w:jc w:val="center"/>
        <w:rPr>
          <w:rFonts w:hint="eastAsia" w:ascii="宋体" w:hAnsi="宋体" w:eastAsia="宋体" w:cs="宋体"/>
          <w:b/>
          <w:bCs/>
          <w:sz w:val="28"/>
          <w:szCs w:val="28"/>
        </w:rPr>
      </w:pPr>
    </w:p>
    <w:p w14:paraId="36338484">
      <w:pPr>
        <w:spacing w:line="500" w:lineRule="exact"/>
        <w:jc w:val="center"/>
        <w:rPr>
          <w:rFonts w:hint="eastAsia" w:ascii="宋体" w:hAnsi="宋体" w:eastAsia="宋体" w:cs="宋体"/>
          <w:b/>
          <w:bCs/>
          <w:sz w:val="28"/>
          <w:szCs w:val="28"/>
        </w:rPr>
      </w:pPr>
    </w:p>
    <w:p w14:paraId="0F097414">
      <w:pPr>
        <w:spacing w:line="500" w:lineRule="exact"/>
        <w:jc w:val="center"/>
        <w:rPr>
          <w:rFonts w:hint="eastAsia" w:ascii="宋体" w:hAnsi="宋体" w:eastAsia="宋体" w:cs="宋体"/>
          <w:b/>
          <w:bCs/>
          <w:sz w:val="28"/>
          <w:szCs w:val="28"/>
        </w:rPr>
      </w:pPr>
    </w:p>
    <w:p w14:paraId="0575E1A3">
      <w:pPr>
        <w:spacing w:line="500" w:lineRule="exact"/>
        <w:jc w:val="center"/>
        <w:rPr>
          <w:rFonts w:hint="eastAsia" w:ascii="宋体" w:hAnsi="宋体" w:eastAsia="宋体" w:cs="宋体"/>
          <w:b/>
          <w:bCs/>
          <w:sz w:val="28"/>
          <w:szCs w:val="28"/>
        </w:rPr>
      </w:pPr>
    </w:p>
    <w:p w14:paraId="4D2D5AFA">
      <w:pPr>
        <w:spacing w:line="500" w:lineRule="exact"/>
        <w:jc w:val="center"/>
        <w:rPr>
          <w:rFonts w:hint="eastAsia" w:ascii="宋体" w:hAnsi="宋体" w:eastAsia="宋体" w:cs="宋体"/>
          <w:b/>
          <w:bCs/>
          <w:sz w:val="28"/>
          <w:szCs w:val="28"/>
        </w:rPr>
      </w:pPr>
    </w:p>
    <w:p w14:paraId="15CDED55">
      <w:pPr>
        <w:spacing w:line="500" w:lineRule="exact"/>
        <w:jc w:val="center"/>
        <w:rPr>
          <w:rFonts w:hint="eastAsia" w:ascii="宋体" w:hAnsi="宋体" w:eastAsia="宋体" w:cs="宋体"/>
          <w:b/>
          <w:bCs/>
          <w:sz w:val="28"/>
          <w:szCs w:val="28"/>
        </w:rPr>
      </w:pPr>
    </w:p>
    <w:p w14:paraId="09CA5D40">
      <w:pPr>
        <w:spacing w:line="500" w:lineRule="exact"/>
        <w:jc w:val="center"/>
        <w:rPr>
          <w:rFonts w:hint="eastAsia" w:ascii="宋体" w:hAnsi="宋体" w:eastAsia="宋体" w:cs="宋体"/>
          <w:b/>
          <w:bCs/>
          <w:sz w:val="28"/>
          <w:szCs w:val="28"/>
        </w:rPr>
      </w:pPr>
    </w:p>
    <w:p w14:paraId="0DEB2AA2">
      <w:pPr>
        <w:spacing w:line="500" w:lineRule="exact"/>
        <w:jc w:val="center"/>
        <w:rPr>
          <w:rFonts w:hint="eastAsia" w:ascii="宋体" w:hAnsi="宋体" w:eastAsia="宋体" w:cs="宋体"/>
          <w:b/>
          <w:bCs/>
          <w:sz w:val="28"/>
          <w:szCs w:val="28"/>
        </w:rPr>
      </w:pPr>
    </w:p>
    <w:p w14:paraId="5AC5DDE2">
      <w:pPr>
        <w:spacing w:line="500" w:lineRule="exact"/>
        <w:jc w:val="center"/>
        <w:rPr>
          <w:rFonts w:hint="eastAsia" w:ascii="宋体" w:hAnsi="宋体" w:eastAsia="宋体" w:cs="宋体"/>
          <w:b/>
          <w:bCs/>
          <w:sz w:val="28"/>
          <w:szCs w:val="28"/>
        </w:rPr>
      </w:pPr>
    </w:p>
    <w:p w14:paraId="5416D3A7">
      <w:pPr>
        <w:spacing w:line="500" w:lineRule="exact"/>
        <w:jc w:val="center"/>
        <w:rPr>
          <w:rFonts w:hint="eastAsia" w:asciiTheme="minorEastAsia" w:hAnsiTheme="minorEastAsia" w:eastAsiaTheme="minorEastAsia" w:cstheme="minorEastAsia"/>
          <w:b/>
          <w:bCs/>
          <w:sz w:val="28"/>
          <w:szCs w:val="28"/>
        </w:rPr>
      </w:pPr>
    </w:p>
    <w:p w14:paraId="072A2942">
      <w:pPr>
        <w:spacing w:line="500" w:lineRule="exact"/>
        <w:jc w:val="center"/>
        <w:rPr>
          <w:rFonts w:hint="eastAsia" w:asciiTheme="minorEastAsia" w:hAnsiTheme="minorEastAsia" w:eastAsiaTheme="minorEastAsia" w:cstheme="minorEastAsia"/>
          <w:b/>
          <w:bCs/>
          <w:sz w:val="28"/>
          <w:szCs w:val="28"/>
        </w:rPr>
      </w:pPr>
    </w:p>
    <w:p w14:paraId="0E827647">
      <w:pPr>
        <w:spacing w:line="500" w:lineRule="exact"/>
        <w:jc w:val="center"/>
        <w:rPr>
          <w:rFonts w:hint="eastAsia" w:asciiTheme="minorEastAsia" w:hAnsiTheme="minorEastAsia" w:eastAsiaTheme="minorEastAsia" w:cstheme="minorEastAsia"/>
          <w:b/>
          <w:bCs/>
          <w:sz w:val="28"/>
          <w:szCs w:val="28"/>
        </w:rPr>
      </w:pPr>
    </w:p>
    <w:p w14:paraId="656AFE28">
      <w:pPr>
        <w:spacing w:line="500" w:lineRule="exact"/>
        <w:jc w:val="center"/>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第二章  比选方案</w:t>
      </w:r>
    </w:p>
    <w:p w14:paraId="2266415B">
      <w:pPr>
        <w:spacing w:line="50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宁德职业技术学院总建筑面积约112522㎡。学校建筑包括教学楼、办公楼、宿舍楼、食堂等共23栋消防设施需维护保养和不定期叫修服务，采用邀请比选方式选定服务商，现将有关事宜公告如下：</w:t>
      </w:r>
    </w:p>
    <w:p w14:paraId="01A9E30E">
      <w:pPr>
        <w:spacing w:line="500" w:lineRule="exact"/>
        <w:ind w:firstLine="630"/>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一、比选项目概况</w:t>
      </w:r>
    </w:p>
    <w:p w14:paraId="70070597">
      <w:pPr>
        <w:spacing w:line="500" w:lineRule="exact"/>
        <w:ind w:firstLine="63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1.业主方名称：</w:t>
      </w:r>
      <w:r>
        <w:rPr>
          <w:rFonts w:hint="eastAsia" w:asciiTheme="minorEastAsia" w:hAnsiTheme="minorEastAsia" w:eastAsiaTheme="minorEastAsia" w:cstheme="minorEastAsia"/>
          <w:sz w:val="28"/>
          <w:szCs w:val="28"/>
          <w:u w:val="single"/>
        </w:rPr>
        <w:t>宁德职业技术学院      ；</w:t>
      </w:r>
    </w:p>
    <w:p w14:paraId="161F640C">
      <w:pPr>
        <w:spacing w:line="500" w:lineRule="exact"/>
        <w:ind w:left="2629" w:leftChars="304" w:hanging="1960" w:hangingChars="700"/>
        <w:rPr>
          <w:rFonts w:hint="eastAsia"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2.项目名称：</w:t>
      </w:r>
      <w:r>
        <w:rPr>
          <w:rFonts w:hint="eastAsia" w:asciiTheme="minorEastAsia" w:hAnsiTheme="minorEastAsia" w:eastAsiaTheme="minorEastAsia" w:cstheme="minorEastAsia"/>
          <w:sz w:val="28"/>
          <w:szCs w:val="28"/>
          <w:u w:val="single"/>
        </w:rPr>
        <w:t>宁德职业技术学院消防维保；</w:t>
      </w:r>
    </w:p>
    <w:p w14:paraId="1C861D1D">
      <w:pPr>
        <w:spacing w:line="500" w:lineRule="exact"/>
        <w:ind w:left="2629" w:leftChars="304" w:hanging="1960" w:hangingChars="700"/>
        <w:rPr>
          <w:rFonts w:hint="eastAsia"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3.项目地址：</w:t>
      </w:r>
      <w:r>
        <w:rPr>
          <w:rFonts w:hint="eastAsia" w:asciiTheme="minorEastAsia" w:hAnsiTheme="minorEastAsia" w:eastAsiaTheme="minorEastAsia" w:cstheme="minorEastAsia"/>
          <w:sz w:val="28"/>
          <w:szCs w:val="28"/>
          <w:u w:val="single"/>
        </w:rPr>
        <w:t>福安市宁德职业技术学院内；</w:t>
      </w:r>
    </w:p>
    <w:p w14:paraId="3A7539B7">
      <w:pPr>
        <w:spacing w:line="50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4.服务项目：教学楼、办公楼、宿舍楼、食堂等共23栋消防维护保养服务；</w:t>
      </w:r>
    </w:p>
    <w:p w14:paraId="53619B13">
      <w:pPr>
        <w:spacing w:line="50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5.服务内容：教学楼、办公楼、宿舍楼、食堂等共23栋消防维护保养服务，服务期限为1+1年；</w:t>
      </w:r>
    </w:p>
    <w:p w14:paraId="5AEB11E2">
      <w:pPr>
        <w:spacing w:line="50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6.付款方式：按季度验收，验收合格后中标方开具正规含税发票，采购方通过银行转账方式支付合同款的25%。</w:t>
      </w:r>
    </w:p>
    <w:p w14:paraId="4B9013B2">
      <w:pPr>
        <w:spacing w:line="50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7.中标方与采购方签订合同后7个工作日内，需向采购方指定账户缴纳合同总额5％的履约保证金，合同期满后无息退还。</w:t>
      </w:r>
    </w:p>
    <w:p w14:paraId="1A3DFFAE">
      <w:pPr>
        <w:spacing w:line="500" w:lineRule="exact"/>
        <w:ind w:firstLine="562" w:firstLineChars="200"/>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二、参选单位资格要求</w:t>
      </w:r>
    </w:p>
    <w:p w14:paraId="527878B8">
      <w:pPr>
        <w:spacing w:line="500" w:lineRule="exact"/>
        <w:ind w:firstLine="63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1、须具有经合格有效的企业法人营业执照；</w:t>
      </w:r>
    </w:p>
    <w:p w14:paraId="11D0AE09">
      <w:pPr>
        <w:spacing w:line="500" w:lineRule="exact"/>
        <w:ind w:firstLine="63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2、须具有独立法人资格和相应经营范围；</w:t>
      </w:r>
    </w:p>
    <w:p w14:paraId="44721EC1">
      <w:pPr>
        <w:spacing w:line="500" w:lineRule="exact"/>
        <w:ind w:firstLine="63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3、具备履行合同所必需的设备和专业技术能力；</w:t>
      </w:r>
    </w:p>
    <w:p w14:paraId="647E7821">
      <w:pPr>
        <w:pStyle w:val="6"/>
        <w:widowControl/>
        <w:shd w:val="clear" w:color="auto" w:fill="FFFFFF"/>
        <w:spacing w:before="0" w:beforeAutospacing="0" w:after="0" w:afterAutospacing="0" w:line="500" w:lineRule="exact"/>
        <w:ind w:firstLine="56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被列入失信被执行人、重大税收违法案件当事人名单、采购严重违法失信行为记录名单且禁止进入政府市场的处罚还在有效期内的服务商不得参与本次采购活动。相关主体信用记录以“信用中国”网站（www.creditchina.gov.cn）网站查询结果为准。</w:t>
      </w:r>
    </w:p>
    <w:p w14:paraId="714121C5">
      <w:pPr>
        <w:spacing w:line="500" w:lineRule="exact"/>
        <w:ind w:firstLine="562" w:firstLineChars="200"/>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三、参选文件编制</w:t>
      </w:r>
    </w:p>
    <w:p w14:paraId="5D103494">
      <w:pPr>
        <w:spacing w:line="50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1.法定代表人资格证明书</w:t>
      </w:r>
    </w:p>
    <w:p w14:paraId="581BD592">
      <w:pPr>
        <w:spacing w:line="50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2.法人代表人授权委托书</w:t>
      </w:r>
    </w:p>
    <w:p w14:paraId="55F090DD">
      <w:pPr>
        <w:spacing w:line="50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3.信誉承诺</w:t>
      </w:r>
    </w:p>
    <w:p w14:paraId="4AC212E5">
      <w:pPr>
        <w:spacing w:line="50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4.报价函承诺书</w:t>
      </w:r>
    </w:p>
    <w:p w14:paraId="16D4ED85">
      <w:pPr>
        <w:spacing w:line="50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5.具备履行合同所必需设备和专业技术能力声明函</w:t>
      </w:r>
    </w:p>
    <w:p w14:paraId="799F13CC">
      <w:pPr>
        <w:spacing w:line="50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6.合格有效的企业法人营业执照副本复印件</w:t>
      </w:r>
    </w:p>
    <w:p w14:paraId="4FF133F9">
      <w:pPr>
        <w:spacing w:line="50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7.其他材料</w:t>
      </w:r>
    </w:p>
    <w:p w14:paraId="72F63C80">
      <w:pPr>
        <w:spacing w:line="50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8.消防维保考核表</w:t>
      </w:r>
    </w:p>
    <w:p w14:paraId="5F231C59">
      <w:pPr>
        <w:spacing w:line="500" w:lineRule="exact"/>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以上材料应装订成册，所涉及的复印件均需加盖单位公章。</w:t>
      </w:r>
    </w:p>
    <w:p w14:paraId="545E9D75">
      <w:pPr>
        <w:spacing w:line="500" w:lineRule="exact"/>
        <w:ind w:left="630"/>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四、确定中选单位</w:t>
      </w:r>
    </w:p>
    <w:p w14:paraId="1ADB8047">
      <w:pPr>
        <w:spacing w:line="50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比选文件评审合格且下浮率报价最高的参选单位为第一候选人，依次类推选择第二、第三中标候选人。当出现二个或二个以上参选单位的投标报价相同时，由比选人随机抽取。</w:t>
      </w:r>
      <w:bookmarkStart w:id="1" w:name="_bookmark2"/>
      <w:bookmarkEnd w:id="1"/>
    </w:p>
    <w:p w14:paraId="1728DDDE">
      <w:pPr>
        <w:pStyle w:val="16"/>
        <w:spacing w:line="500" w:lineRule="exact"/>
        <w:ind w:left="0" w:firstLine="562" w:firstLineChars="200"/>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五、消防维保工作要求和内容</w:t>
      </w:r>
    </w:p>
    <w:p w14:paraId="0D9603A7">
      <w:pPr>
        <w:pStyle w:val="16"/>
        <w:spacing w:line="500" w:lineRule="exact"/>
        <w:ind w:left="0" w:firstLine="562" w:firstLineChars="200"/>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1.自动报警系统</w:t>
      </w:r>
    </w:p>
    <w:p w14:paraId="6228253B">
      <w:pPr>
        <w:pStyle w:val="16"/>
        <w:spacing w:line="500" w:lineRule="exact"/>
        <w:ind w:left="588" w:leftChars="209" w:hanging="128" w:hangingChars="4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1.1维护内容：</w:t>
      </w:r>
    </w:p>
    <w:p w14:paraId="0CE7CEF5">
      <w:pPr>
        <w:pStyle w:val="16"/>
        <w:numPr>
          <w:ilvl w:val="0"/>
          <w:numId w:val="4"/>
        </w:numPr>
        <w:spacing w:line="500" w:lineRule="exact"/>
        <w:ind w:left="0"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各信号线路及线路保护管道维护。</w:t>
      </w:r>
    </w:p>
    <w:p w14:paraId="11BC5B50">
      <w:pPr>
        <w:pStyle w:val="16"/>
        <w:numPr>
          <w:ilvl w:val="0"/>
          <w:numId w:val="4"/>
        </w:numPr>
        <w:spacing w:line="500" w:lineRule="exact"/>
        <w:ind w:left="0"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控制器的基本功能试验，包括控制器的开机、液晶和数码管的显示、主备电的工作、显示和声音、打印、时钟、记录等。</w:t>
      </w:r>
    </w:p>
    <w:p w14:paraId="2A83E813">
      <w:pPr>
        <w:pStyle w:val="16"/>
        <w:numPr>
          <w:ilvl w:val="0"/>
          <w:numId w:val="4"/>
        </w:numPr>
        <w:spacing w:line="500" w:lineRule="exact"/>
        <w:ind w:left="0"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查控制器的点名、报火警、报故障功能。</w:t>
      </w:r>
    </w:p>
    <w:p w14:paraId="32260593">
      <w:pPr>
        <w:pStyle w:val="16"/>
        <w:numPr>
          <w:ilvl w:val="0"/>
          <w:numId w:val="4"/>
        </w:numPr>
        <w:spacing w:line="500" w:lineRule="exact"/>
        <w:ind w:left="0"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探测器的报警试验，包括感烟、感温等所有类型探测器的试验，试验工具符合检测要求。</w:t>
      </w:r>
    </w:p>
    <w:p w14:paraId="7DCD65F5">
      <w:pPr>
        <w:pStyle w:val="16"/>
        <w:numPr>
          <w:ilvl w:val="0"/>
          <w:numId w:val="4"/>
        </w:numPr>
        <w:spacing w:line="500" w:lineRule="exact"/>
        <w:ind w:left="0"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手报报警按钮的撤警试验</w:t>
      </w:r>
    </w:p>
    <w:p w14:paraId="759779AA">
      <w:pPr>
        <w:pStyle w:val="16"/>
        <w:spacing w:line="500" w:lineRule="exact"/>
        <w:ind w:left="440" w:leftChars="200" w:firstLine="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1.2工作计划：每月检测一次。</w:t>
      </w:r>
    </w:p>
    <w:p w14:paraId="66777CCE">
      <w:pPr>
        <w:pStyle w:val="16"/>
        <w:spacing w:line="500" w:lineRule="exact"/>
        <w:ind w:left="0" w:firstLine="562" w:firstLineChars="200"/>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2.自动喷淋系统</w:t>
      </w:r>
    </w:p>
    <w:p w14:paraId="339394C0">
      <w:pPr>
        <w:pStyle w:val="16"/>
        <w:spacing w:line="500" w:lineRule="exact"/>
        <w:ind w:left="0"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2.1维护内容：</w:t>
      </w:r>
    </w:p>
    <w:p w14:paraId="4312EAB0">
      <w:pPr>
        <w:pStyle w:val="16"/>
        <w:numPr>
          <w:ilvl w:val="0"/>
          <w:numId w:val="5"/>
        </w:numPr>
        <w:spacing w:line="500" w:lineRule="exact"/>
        <w:ind w:left="0"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外观检查。检测消防泵房工作环境及喷淋泵、稳压设备、电源控制柜、湿式报警阀、喷头、水泵接合器、储水设施是否处于完好状态。</w:t>
      </w:r>
    </w:p>
    <w:p w14:paraId="353BE7A4">
      <w:pPr>
        <w:pStyle w:val="16"/>
        <w:numPr>
          <w:ilvl w:val="0"/>
          <w:numId w:val="5"/>
        </w:numPr>
        <w:spacing w:line="500" w:lineRule="exact"/>
        <w:ind w:left="0"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功能试验。在控制柜及消防控制中心启动喷淋泵，同时试验主备泵的切换功能：利用报警阀的放水试验阀试验压力开关、水力警铃的工作情况；利用末端放水装置放水，验证水流指示器、湿式报警阀功能，自动启泵功能。</w:t>
      </w:r>
    </w:p>
    <w:p w14:paraId="7CE4EE23">
      <w:pPr>
        <w:pStyle w:val="16"/>
        <w:spacing w:line="500" w:lineRule="exact"/>
        <w:ind w:left="0"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2.2工作计划：每月测试一次。</w:t>
      </w:r>
    </w:p>
    <w:p w14:paraId="6F9082D8">
      <w:pPr>
        <w:pStyle w:val="16"/>
        <w:spacing w:line="500" w:lineRule="exact"/>
        <w:ind w:left="0" w:firstLine="562" w:firstLineChars="200"/>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3.消火栓系统</w:t>
      </w:r>
    </w:p>
    <w:p w14:paraId="363EA0EC">
      <w:pPr>
        <w:pStyle w:val="16"/>
        <w:spacing w:line="500" w:lineRule="exact"/>
        <w:ind w:left="0"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3.1维护内容：</w:t>
      </w:r>
    </w:p>
    <w:p w14:paraId="0B243363">
      <w:pPr>
        <w:pStyle w:val="16"/>
        <w:numPr>
          <w:ilvl w:val="0"/>
          <w:numId w:val="6"/>
        </w:numPr>
        <w:spacing w:line="500" w:lineRule="exact"/>
        <w:ind w:left="0"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外观检测。检测室内外消火栓给水管道、消防水池／水箱／稳压装置、消火栓水枪及水带、消火栓按钮、消防水泵及各类管网阀门等是否正常。</w:t>
      </w:r>
    </w:p>
    <w:p w14:paraId="0BFAB730">
      <w:pPr>
        <w:pStyle w:val="16"/>
        <w:numPr>
          <w:ilvl w:val="0"/>
          <w:numId w:val="6"/>
        </w:numPr>
        <w:spacing w:line="500" w:lineRule="exact"/>
        <w:ind w:left="0"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消防泵启动功能试验。在泵房控制柜、消防中心、现场消火栓按钮上启动消防泵，查看消防泵启动情况。</w:t>
      </w:r>
    </w:p>
    <w:p w14:paraId="00077A77">
      <w:pPr>
        <w:pStyle w:val="16"/>
        <w:numPr>
          <w:ilvl w:val="0"/>
          <w:numId w:val="6"/>
        </w:numPr>
        <w:spacing w:line="500" w:lineRule="exact"/>
        <w:ind w:left="0"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模拟实际喷水试验。接好水枪，做好准备工作，开始试验，检查水的压力及查看是否有漏水情况。</w:t>
      </w:r>
    </w:p>
    <w:p w14:paraId="4D731D58">
      <w:pPr>
        <w:pStyle w:val="16"/>
        <w:spacing w:line="500" w:lineRule="exact"/>
        <w:ind w:left="0"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3.2工作计划：每季度一次</w:t>
      </w:r>
    </w:p>
    <w:p w14:paraId="507D7DC5">
      <w:pPr>
        <w:pStyle w:val="16"/>
        <w:spacing w:line="500" w:lineRule="exact"/>
        <w:ind w:left="0" w:firstLine="562" w:firstLineChars="200"/>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4.防排烟系统</w:t>
      </w:r>
    </w:p>
    <w:p w14:paraId="5EFE4774">
      <w:pPr>
        <w:pStyle w:val="16"/>
        <w:spacing w:line="500" w:lineRule="exact"/>
        <w:ind w:left="0"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4.1维护内容：</w:t>
      </w:r>
    </w:p>
    <w:p w14:paraId="66802817">
      <w:pPr>
        <w:pStyle w:val="16"/>
        <w:spacing w:line="500" w:lineRule="exact"/>
        <w:ind w:left="0"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（1）排烟阀、送风阀及手动的启动。</w:t>
      </w:r>
    </w:p>
    <w:p w14:paraId="0BAA9641">
      <w:pPr>
        <w:pStyle w:val="16"/>
        <w:spacing w:line="500" w:lineRule="exact"/>
        <w:ind w:left="0"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（2）排烟风机、送风机的启动和停动。</w:t>
      </w:r>
    </w:p>
    <w:p w14:paraId="4B8F4897">
      <w:pPr>
        <w:pStyle w:val="16"/>
        <w:spacing w:line="500" w:lineRule="exact"/>
        <w:ind w:left="0"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（3）空调、新风机的停动。</w:t>
      </w:r>
    </w:p>
    <w:p w14:paraId="33E12693">
      <w:pPr>
        <w:pStyle w:val="16"/>
        <w:spacing w:line="500" w:lineRule="exact"/>
        <w:ind w:left="0"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4.2工作计划：每月检测一次．</w:t>
      </w:r>
    </w:p>
    <w:p w14:paraId="30597B39">
      <w:pPr>
        <w:pStyle w:val="16"/>
        <w:spacing w:line="500" w:lineRule="exact"/>
        <w:ind w:left="0" w:firstLine="562" w:firstLineChars="200"/>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5.应急照明及疏散系统</w:t>
      </w:r>
    </w:p>
    <w:p w14:paraId="03801A40">
      <w:pPr>
        <w:pStyle w:val="16"/>
        <w:spacing w:line="500" w:lineRule="exact"/>
        <w:ind w:left="0"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5.1维护内容：</w:t>
      </w:r>
    </w:p>
    <w:p w14:paraId="67C42086">
      <w:pPr>
        <w:pStyle w:val="16"/>
        <w:spacing w:line="500" w:lineRule="exact"/>
        <w:ind w:left="0"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检查各种消防应急照明，消防应急标志及疏散标志牌的功能。功能包括正常指示、切换功能。</w:t>
      </w:r>
    </w:p>
    <w:p w14:paraId="67BB7106">
      <w:pPr>
        <w:pStyle w:val="16"/>
        <w:spacing w:line="500" w:lineRule="exact"/>
        <w:ind w:left="0"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5.2工作计划：每月检测一次</w:t>
      </w:r>
    </w:p>
    <w:p w14:paraId="2C5F2ACC">
      <w:pPr>
        <w:pStyle w:val="16"/>
        <w:spacing w:line="500" w:lineRule="exact"/>
        <w:ind w:left="0" w:firstLine="562" w:firstLineChars="200"/>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6.消防电源及配电装置</w:t>
      </w:r>
    </w:p>
    <w:p w14:paraId="2DF21647">
      <w:pPr>
        <w:pStyle w:val="16"/>
        <w:spacing w:line="500" w:lineRule="exact"/>
        <w:ind w:left="0"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6.1维护内容：</w:t>
      </w:r>
    </w:p>
    <w:p w14:paraId="1104F75B">
      <w:pPr>
        <w:pStyle w:val="16"/>
        <w:spacing w:line="500" w:lineRule="exact"/>
        <w:ind w:left="0"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（1）非消防电源的切换及消防电源的投入。</w:t>
      </w:r>
    </w:p>
    <w:p w14:paraId="3B3C1D41">
      <w:pPr>
        <w:pStyle w:val="16"/>
        <w:spacing w:line="500" w:lineRule="exact"/>
        <w:ind w:left="0"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（2）在控制中心手动试验。</w:t>
      </w:r>
    </w:p>
    <w:p w14:paraId="6B897B18">
      <w:pPr>
        <w:pStyle w:val="16"/>
        <w:spacing w:line="500" w:lineRule="exact"/>
        <w:ind w:left="0"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6.2工作计划：每季度一次。</w:t>
      </w:r>
    </w:p>
    <w:p w14:paraId="3648BA7C">
      <w:pPr>
        <w:pStyle w:val="16"/>
        <w:spacing w:line="500" w:lineRule="exact"/>
        <w:ind w:left="0" w:firstLine="562" w:firstLineChars="200"/>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7.消防广播系统</w:t>
      </w:r>
    </w:p>
    <w:p w14:paraId="2CB120AE">
      <w:pPr>
        <w:pStyle w:val="16"/>
        <w:spacing w:line="500" w:lineRule="exact"/>
        <w:ind w:left="0"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7.1维护内容：</w:t>
      </w:r>
    </w:p>
    <w:p w14:paraId="2B50D505">
      <w:pPr>
        <w:pStyle w:val="16"/>
        <w:spacing w:line="500" w:lineRule="exact"/>
        <w:ind w:left="0"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（1）检查紧急广播的放音及切换功能。放音包括通过话筒、磁带等方式放音，检查声音的大小。切换功能指每个区是否都能正常切换。</w:t>
      </w:r>
    </w:p>
    <w:p w14:paraId="01398395">
      <w:pPr>
        <w:pStyle w:val="16"/>
        <w:spacing w:line="500" w:lineRule="exact"/>
        <w:ind w:left="0"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（2）检查消防电话的通话功能。包括固定电话机电话插孔的检查。</w:t>
      </w:r>
    </w:p>
    <w:p w14:paraId="6F2FB60C">
      <w:pPr>
        <w:pStyle w:val="16"/>
        <w:spacing w:line="500" w:lineRule="exact"/>
        <w:ind w:left="0"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7.2工作计划：每月测试一次。</w:t>
      </w:r>
    </w:p>
    <w:p w14:paraId="70DB76FE">
      <w:pPr>
        <w:pStyle w:val="16"/>
        <w:spacing w:line="500" w:lineRule="exact"/>
        <w:ind w:left="0" w:firstLine="562" w:firstLineChars="200"/>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8.灭火器维护</w:t>
      </w:r>
    </w:p>
    <w:p w14:paraId="6F7DB352">
      <w:pPr>
        <w:pStyle w:val="16"/>
        <w:spacing w:line="500" w:lineRule="exact"/>
        <w:ind w:left="0"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8.1维护内容：检查灭火器有效期、表盘、指针，灭火器外观、型号等；试验灭火器的喷射功能是否正常。</w:t>
      </w:r>
    </w:p>
    <w:p w14:paraId="77208738">
      <w:pPr>
        <w:pStyle w:val="16"/>
        <w:spacing w:line="500" w:lineRule="exact"/>
        <w:ind w:left="0"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8.2工作计划：每月测试一次。</w:t>
      </w:r>
    </w:p>
    <w:p w14:paraId="0767C65A">
      <w:pPr>
        <w:pStyle w:val="16"/>
        <w:spacing w:line="500" w:lineRule="exact"/>
        <w:ind w:left="565" w:leftChars="198" w:hanging="129" w:hangingChars="46"/>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六、其他要求</w:t>
      </w:r>
    </w:p>
    <w:p w14:paraId="4210C864">
      <w:pPr>
        <w:pStyle w:val="16"/>
        <w:spacing w:line="500" w:lineRule="exact"/>
        <w:ind w:left="0" w:firstLine="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b/>
          <w:bCs/>
          <w:sz w:val="28"/>
          <w:szCs w:val="28"/>
        </w:rPr>
        <w:t xml:space="preserve"> </w:t>
      </w:r>
      <w:r>
        <w:rPr>
          <w:rFonts w:hint="eastAsia" w:asciiTheme="minorEastAsia" w:hAnsiTheme="minorEastAsia" w:eastAsiaTheme="minorEastAsia" w:cstheme="minorEastAsia"/>
          <w:sz w:val="28"/>
          <w:szCs w:val="28"/>
        </w:rPr>
        <w:t>1.中标方须派至少两人熟悉消防安全的持证工作人员，负责校内消防设施、设备的维护、管理、检查、整理资料等工作。参与人员必须具有作业人员上岗证书及消防员证，人证合一，锁证锁人，设专人进行现场监管。拆卸、搬迁和安装过程中，不得损坏其它公共设施及个人财产。</w:t>
      </w:r>
    </w:p>
    <w:p w14:paraId="69888272">
      <w:pPr>
        <w:pStyle w:val="16"/>
        <w:spacing w:line="500" w:lineRule="exact"/>
        <w:ind w:left="0"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在维保过程中，必须坚持“以修为主”的原则，确需更换零件时，中标方应及时写出书面说明，由双方共同论证确定，待学校认可后方可实施。100元以上由采购人甲方确认后负责购置，100元以下由中标方（乙方）负责购置。</w:t>
      </w:r>
    </w:p>
    <w:p w14:paraId="168F9653">
      <w:pPr>
        <w:pStyle w:val="16"/>
        <w:spacing w:line="500" w:lineRule="exact"/>
        <w:ind w:left="0"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3.中标方需认真做好消防设施资料的建档工作，做好维保日志，建立健全各类消防维保管理台帐，并及时予以更新，按消防部门要求及时上报相关材料，有义务协助校方做好规范的消防档案建设。</w:t>
      </w:r>
    </w:p>
    <w:p w14:paraId="025B2938">
      <w:pPr>
        <w:pStyle w:val="16"/>
        <w:spacing w:line="500" w:lineRule="exact"/>
        <w:ind w:left="0"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4.中标方有责任和义务配合学校及上级主管部门组织的消防检查、测试、上报材料等工作。</w:t>
      </w:r>
    </w:p>
    <w:p w14:paraId="06FDE4A2">
      <w:pPr>
        <w:pStyle w:val="16"/>
        <w:spacing w:line="500" w:lineRule="exact"/>
        <w:ind w:left="0"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5.中标方应认真执行和全面落实国家建筑消防安全法律法规，认真服从消防管理部门的技术指导，并承担相应的消防责任。</w:t>
      </w:r>
    </w:p>
    <w:p w14:paraId="23084F2B">
      <w:pPr>
        <w:pStyle w:val="16"/>
        <w:spacing w:line="500" w:lineRule="exact"/>
        <w:ind w:left="0"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6.中标方需每月把工作情况书面报表向采购方（甲方）汇报，出具维护报告书。</w:t>
      </w:r>
    </w:p>
    <w:p w14:paraId="779406AD">
      <w:pPr>
        <w:pStyle w:val="16"/>
        <w:spacing w:line="500" w:lineRule="exact"/>
        <w:ind w:left="0" w:firstLine="562" w:firstLineChars="200"/>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七、安全责任</w:t>
      </w:r>
    </w:p>
    <w:p w14:paraId="44862B53">
      <w:pPr>
        <w:pStyle w:val="16"/>
        <w:spacing w:line="500" w:lineRule="exact"/>
        <w:ind w:left="0"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中标方应对派驻校方的工作人员进行维保安全生产教育，并自带专业工具，严格规范操作，做好安全防范措施，做到安全文明施工。如因中标方的维保人员违规操作，造成采购方消防设施设备损坏，中标方必须照价赔偿并负责处理好善后工作，直至甲方的消防设施设备正常运转。</w:t>
      </w:r>
    </w:p>
    <w:p w14:paraId="2940E58B">
      <w:pPr>
        <w:pStyle w:val="16"/>
        <w:spacing w:line="500" w:lineRule="exact"/>
        <w:ind w:left="0"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中标方对参与本项目的所有员工的人身安全负全责。如在维保过程中，凡因中标方责任造成的任何事故，均由中标方承担全部责任，赔偿一切经济损失，与学校无关。中标方要做到合法用工，工作人员相关证件齐全，如中标方违法用工造成的损失由中标方承担。</w:t>
      </w:r>
    </w:p>
    <w:p w14:paraId="63B17FEA">
      <w:pPr>
        <w:pStyle w:val="16"/>
        <w:spacing w:line="500" w:lineRule="exact"/>
        <w:ind w:left="0"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3.在合同期间中标方对学校的消防安全设备应负全部责任。</w:t>
      </w:r>
    </w:p>
    <w:p w14:paraId="5BBFF3F1">
      <w:pPr>
        <w:pStyle w:val="16"/>
        <w:spacing w:line="500" w:lineRule="exact"/>
        <w:ind w:left="0" w:firstLine="562" w:firstLineChars="200"/>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八、违约责任</w:t>
      </w:r>
    </w:p>
    <w:p w14:paraId="371FDDED">
      <w:pPr>
        <w:pStyle w:val="16"/>
        <w:spacing w:line="500" w:lineRule="exact"/>
        <w:ind w:left="0" w:firstLine="560" w:firstLineChars="200"/>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1.甲乙双方不得无故终止合同。</w:t>
      </w:r>
    </w:p>
    <w:p w14:paraId="30776DAE">
      <w:pPr>
        <w:pStyle w:val="16"/>
        <w:spacing w:line="500" w:lineRule="exact"/>
        <w:ind w:left="0" w:firstLine="560" w:firstLineChars="200"/>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2.若因乙方未按维保要求进行服务造成消防设施设备故障，并进而导致消防事故或隐患未第一时间消除的，甲方因此造成的人身伤亡或财产损失，由乙方承担赔偿责任。若甲方被任何第三方（包含甲方师生在内）追索并承担责任的，甲方有权向乙方追偿。</w:t>
      </w:r>
    </w:p>
    <w:p w14:paraId="5E495012">
      <w:pPr>
        <w:pStyle w:val="16"/>
        <w:spacing w:line="500" w:lineRule="exact"/>
        <w:ind w:left="0" w:firstLine="560" w:firstLineChars="200"/>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3.若乙方连续三次未按招标要求及时响应或维护不到位导致设施设备无法正常运行，甲方有权单方无责解除合同。合同期内给甲方带来的损失由乙方承担。</w:t>
      </w:r>
    </w:p>
    <w:p w14:paraId="5D62BBB6">
      <w:pPr>
        <w:pStyle w:val="16"/>
        <w:spacing w:line="500" w:lineRule="exact"/>
        <w:ind w:left="0" w:firstLine="560" w:firstLineChars="200"/>
        <w:rPr>
          <w:rFonts w:hint="default"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4.若甲方季度验收不合格的，甲方有权拒付当季度的维保检测费，如果连续两个季度验收不合格或合同期内累计三个季度验收不合格，甲方有权解除合同，并没收乙方履约保证金。</w:t>
      </w:r>
    </w:p>
    <w:p w14:paraId="6A5F1471">
      <w:pPr>
        <w:pStyle w:val="16"/>
        <w:spacing w:line="500" w:lineRule="exact"/>
        <w:ind w:left="0" w:firstLine="562" w:firstLineChars="200"/>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lang w:val="en-US" w:eastAsia="zh-CN"/>
        </w:rPr>
        <w:t>九</w:t>
      </w:r>
      <w:r>
        <w:rPr>
          <w:rFonts w:hint="eastAsia" w:asciiTheme="minorEastAsia" w:hAnsiTheme="minorEastAsia" w:eastAsiaTheme="minorEastAsia" w:cstheme="minorEastAsia"/>
          <w:b/>
          <w:bCs/>
          <w:sz w:val="28"/>
          <w:szCs w:val="28"/>
        </w:rPr>
        <w:t>、争议解决</w:t>
      </w:r>
    </w:p>
    <w:p w14:paraId="7F7645DA">
      <w:pPr>
        <w:pStyle w:val="16"/>
        <w:spacing w:line="500" w:lineRule="exact"/>
        <w:ind w:left="0"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若因执行合同发生争议，或因合同发生的其他争议，双方应当友好协商解决，协商不成的，均可向福安市人民法院起诉。</w:t>
      </w:r>
    </w:p>
    <w:p w14:paraId="2E24DF93">
      <w:pPr>
        <w:pStyle w:val="16"/>
        <w:ind w:left="0" w:firstLine="560" w:firstLineChars="200"/>
        <w:rPr>
          <w:rFonts w:hint="eastAsia" w:asciiTheme="minorEastAsia" w:hAnsiTheme="minorEastAsia" w:eastAsiaTheme="minorEastAsia" w:cstheme="minorEastAsia"/>
          <w:sz w:val="28"/>
          <w:szCs w:val="28"/>
        </w:rPr>
      </w:pPr>
    </w:p>
    <w:p w14:paraId="39B98E09">
      <w:pPr>
        <w:pStyle w:val="16"/>
        <w:ind w:left="0" w:leftChars="0" w:firstLine="0" w:firstLineChars="0"/>
        <w:rPr>
          <w:rFonts w:hint="eastAsia"/>
          <w:sz w:val="32"/>
          <w:szCs w:val="32"/>
        </w:rPr>
      </w:pPr>
    </w:p>
    <w:p w14:paraId="3D0CAD69">
      <w:pPr>
        <w:pStyle w:val="16"/>
        <w:ind w:left="0" w:firstLine="0"/>
        <w:rPr>
          <w:rFonts w:hint="eastAsia"/>
          <w:sz w:val="32"/>
          <w:szCs w:val="32"/>
        </w:rPr>
      </w:pPr>
    </w:p>
    <w:p w14:paraId="7C6124A4">
      <w:pPr>
        <w:pStyle w:val="16"/>
        <w:ind w:left="583" w:leftChars="198" w:hanging="147" w:hangingChars="46"/>
        <w:rPr>
          <w:rFonts w:hint="eastAsia" w:asciiTheme="minorEastAsia" w:hAnsiTheme="minorEastAsia" w:eastAsiaTheme="minorEastAsia" w:cstheme="minorEastAsia"/>
          <w:sz w:val="32"/>
          <w:szCs w:val="32"/>
        </w:rPr>
      </w:pPr>
    </w:p>
    <w:p w14:paraId="6E7113A8">
      <w:pPr>
        <w:pStyle w:val="2"/>
        <w:numPr>
          <w:ilvl w:val="0"/>
          <w:numId w:val="0"/>
        </w:numPr>
        <w:rPr>
          <w:rFonts w:hint="eastAsia"/>
        </w:rPr>
      </w:pPr>
    </w:p>
    <w:sectPr>
      <w:footerReference r:id="rId5" w:type="default"/>
      <w:footerReference r:id="rId6" w:type="even"/>
      <w:pgSz w:w="11910" w:h="16840"/>
      <w:pgMar w:top="1440" w:right="1800" w:bottom="1440" w:left="1800" w:header="0" w:footer="0" w:gutter="0"/>
      <w:cols w:space="720"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F48EE">
    <w:pPr>
      <w:pStyle w:val="3"/>
      <w:spacing w:line="14" w:lineRule="auto"/>
      <w:rPr>
        <w:rFonts w:hint="eastAsia"/>
        <w:sz w:val="20"/>
      </w:rPr>
    </w:pPr>
    <w:r>
      <mc:AlternateContent>
        <mc:Choice Requires="wps">
          <w:drawing>
            <wp:anchor distT="0" distB="0" distL="114300" distR="114300" simplePos="0" relativeHeight="251660288" behindDoc="1" locked="0" layoutInCell="1" allowOverlap="1">
              <wp:simplePos x="0" y="0"/>
              <wp:positionH relativeFrom="page">
                <wp:posOffset>1308735</wp:posOffset>
              </wp:positionH>
              <wp:positionV relativeFrom="page">
                <wp:posOffset>9824720</wp:posOffset>
              </wp:positionV>
              <wp:extent cx="597535" cy="224790"/>
              <wp:effectExtent l="0" t="0" r="0" b="0"/>
              <wp:wrapNone/>
              <wp:docPr id="6" name="Text Box 8"/>
              <wp:cNvGraphicFramePr/>
              <a:graphic xmlns:a="http://schemas.openxmlformats.org/drawingml/2006/main">
                <a:graphicData uri="http://schemas.microsoft.com/office/word/2010/wordprocessingShape">
                  <wps:wsp>
                    <wps:cNvSpPr txBox="1">
                      <a:spLocks noChangeArrowheads="1"/>
                    </wps:cNvSpPr>
                    <wps:spPr bwMode="auto">
                      <a:xfrm>
                        <a:off x="0" y="0"/>
                        <a:ext cx="597535" cy="224790"/>
                      </a:xfrm>
                      <a:prstGeom prst="rect">
                        <a:avLst/>
                      </a:prstGeom>
                      <a:noFill/>
                      <a:ln>
                        <a:noFill/>
                      </a:ln>
                    </wps:spPr>
                    <wps:txbx>
                      <w:txbxContent>
                        <w:p w14:paraId="7181FE34">
                          <w:pPr>
                            <w:spacing w:before="11"/>
                            <w:ind w:left="20"/>
                            <w:rPr>
                              <w:rFonts w:ascii="Times New Roman" w:hAnsi="Times New Roman"/>
                              <w:sz w:val="28"/>
                            </w:rPr>
                          </w:pPr>
                          <w:r>
                            <w:rPr>
                              <w:rFonts w:ascii="Times New Roman" w:hAnsi="Times New Roman"/>
                              <w:sz w:val="28"/>
                            </w:rPr>
                            <w:t>—</w:t>
                          </w:r>
                          <w:r>
                            <w:rPr>
                              <w:rFonts w:ascii="Times New Roman" w:hAnsi="Times New Roman"/>
                              <w:spacing w:val="-3"/>
                              <w:sz w:val="28"/>
                            </w:rPr>
                            <w:t xml:space="preserve"> </w:t>
                          </w:r>
                          <w:r>
                            <w:fldChar w:fldCharType="begin"/>
                          </w:r>
                          <w:r>
                            <w:rPr>
                              <w:rFonts w:ascii="Times New Roman" w:hAnsi="Times New Roman"/>
                              <w:sz w:val="28"/>
                            </w:rPr>
                            <w:instrText xml:space="preserve"> PAGE </w:instrText>
                          </w:r>
                          <w:r>
                            <w:fldChar w:fldCharType="separate"/>
                          </w:r>
                          <w:r>
                            <w:rPr>
                              <w:rFonts w:ascii="Times New Roman" w:hAnsi="Times New Roman"/>
                              <w:sz w:val="28"/>
                            </w:rPr>
                            <w:t>6</w:t>
                          </w:r>
                          <w:r>
                            <w:fldChar w:fldCharType="end"/>
                          </w:r>
                          <w:r>
                            <w:rPr>
                              <w:rFonts w:ascii="Times New Roman" w:hAnsi="Times New Roman"/>
                              <w:spacing w:val="1"/>
                              <w:sz w:val="28"/>
                            </w:rPr>
                            <w:t xml:space="preserve"> </w:t>
                          </w:r>
                          <w:r>
                            <w:rPr>
                              <w:rFonts w:ascii="Times New Roman" w:hAnsi="Times New Roman"/>
                              <w:sz w:val="28"/>
                            </w:rPr>
                            <w:t>—</w:t>
                          </w:r>
                        </w:p>
                      </w:txbxContent>
                    </wps:txbx>
                    <wps:bodyPr rot="0" vert="horz" wrap="square" lIns="0" tIns="0" rIns="0" bIns="0" anchor="t" anchorCtr="0" upright="1">
                      <a:noAutofit/>
                    </wps:bodyPr>
                  </wps:wsp>
                </a:graphicData>
              </a:graphic>
            </wp:anchor>
          </w:drawing>
        </mc:Choice>
        <mc:Fallback>
          <w:pict>
            <v:shape id="Text Box 8" o:spid="_x0000_s1026" o:spt="202" type="#_x0000_t202" style="position:absolute;left:0pt;margin-left:103.05pt;margin-top:773.6pt;height:17.7pt;width:47.05pt;mso-position-horizontal-relative:page;mso-position-vertical-relative:page;z-index:-251656192;mso-width-relative:page;mso-height-relative:page;" filled="f" stroked="f" coordsize="21600,21600" o:gfxdata="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zc4cS2gAAAA0BAAAPAAAAAAAAAAEAIAAAACIAAABkcnMvZG93&#10;bnJldi54bWxQSwECFAAUAAAACACHTuJAWTM3Lv4BAAADBAAADgAAAAAAAAABACAAAAApAQAAZHJz&#10;L2Uyb0RvYy54bWxQSwUGAAAAAAYABgBZAQAAmQUAAAAA&#10;">
              <v:fill on="f" focussize="0,0"/>
              <v:stroke on="f"/>
              <v:imagedata o:title=""/>
              <o:lock v:ext="edit" aspectratio="f"/>
              <v:textbox inset="0mm,0mm,0mm,0mm">
                <w:txbxContent>
                  <w:p w14:paraId="7181FE34">
                    <w:pPr>
                      <w:spacing w:before="11"/>
                      <w:ind w:left="20"/>
                      <w:rPr>
                        <w:rFonts w:ascii="Times New Roman" w:hAnsi="Times New Roman"/>
                        <w:sz w:val="28"/>
                      </w:rPr>
                    </w:pPr>
                    <w:r>
                      <w:rPr>
                        <w:rFonts w:ascii="Times New Roman" w:hAnsi="Times New Roman"/>
                        <w:sz w:val="28"/>
                      </w:rPr>
                      <w:t>—</w:t>
                    </w:r>
                    <w:r>
                      <w:rPr>
                        <w:rFonts w:ascii="Times New Roman" w:hAnsi="Times New Roman"/>
                        <w:spacing w:val="-3"/>
                        <w:sz w:val="28"/>
                      </w:rPr>
                      <w:t xml:space="preserve"> </w:t>
                    </w:r>
                    <w:r>
                      <w:fldChar w:fldCharType="begin"/>
                    </w:r>
                    <w:r>
                      <w:rPr>
                        <w:rFonts w:ascii="Times New Roman" w:hAnsi="Times New Roman"/>
                        <w:sz w:val="28"/>
                      </w:rPr>
                      <w:instrText xml:space="preserve"> PAGE </w:instrText>
                    </w:r>
                    <w:r>
                      <w:fldChar w:fldCharType="separate"/>
                    </w:r>
                    <w:r>
                      <w:rPr>
                        <w:rFonts w:ascii="Times New Roman" w:hAnsi="Times New Roman"/>
                        <w:sz w:val="28"/>
                      </w:rPr>
                      <w:t>6</w:t>
                    </w:r>
                    <w:r>
                      <w:fldChar w:fldCharType="end"/>
                    </w:r>
                    <w:r>
                      <w:rPr>
                        <w:rFonts w:ascii="Times New Roman" w:hAnsi="Times New Roman"/>
                        <w:spacing w:val="1"/>
                        <w:sz w:val="28"/>
                      </w:rPr>
                      <w:t xml:space="preserve"> </w:t>
                    </w:r>
                    <w:r>
                      <w:rPr>
                        <w:rFonts w:ascii="Times New Roman" w:hAnsi="Times New Roman"/>
                        <w:sz w:val="28"/>
                      </w:rP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3C9484">
    <w:pPr>
      <w:pStyle w:val="3"/>
      <w:spacing w:line="14" w:lineRule="auto"/>
      <w:rPr>
        <w:rFonts w:hint="eastAsia"/>
        <w:sz w:val="2"/>
      </w:rPr>
    </w:pPr>
    <w:r>
      <mc:AlternateContent>
        <mc:Choice Requires="wps">
          <w:drawing>
            <wp:anchor distT="0" distB="0" distL="114300" distR="114300" simplePos="0" relativeHeight="251661312" behindDoc="1" locked="0" layoutInCell="1" allowOverlap="1">
              <wp:simplePos x="0" y="0"/>
              <wp:positionH relativeFrom="margin">
                <wp:align>right</wp:align>
              </wp:positionH>
              <wp:positionV relativeFrom="page">
                <wp:posOffset>9977755</wp:posOffset>
              </wp:positionV>
              <wp:extent cx="687070" cy="224790"/>
              <wp:effectExtent l="0" t="0" r="17780" b="3810"/>
              <wp:wrapNone/>
              <wp:docPr id="13" name="Text Box 5"/>
              <wp:cNvGraphicFramePr/>
              <a:graphic xmlns:a="http://schemas.openxmlformats.org/drawingml/2006/main">
                <a:graphicData uri="http://schemas.microsoft.com/office/word/2010/wordprocessingShape">
                  <wps:wsp>
                    <wps:cNvSpPr txBox="1">
                      <a:spLocks noChangeArrowheads="1"/>
                    </wps:cNvSpPr>
                    <wps:spPr bwMode="auto">
                      <a:xfrm>
                        <a:off x="0" y="0"/>
                        <a:ext cx="687070" cy="224790"/>
                      </a:xfrm>
                      <a:prstGeom prst="rect">
                        <a:avLst/>
                      </a:prstGeom>
                      <a:noFill/>
                      <a:ln>
                        <a:noFill/>
                      </a:ln>
                    </wps:spPr>
                    <wps:txbx>
                      <w:txbxContent>
                        <w:p w14:paraId="6718E52A">
                          <w:pPr>
                            <w:spacing w:before="11"/>
                            <w:ind w:left="20"/>
                            <w:rPr>
                              <w:rFonts w:ascii="Times New Roman" w:hAnsi="Times New Roman"/>
                              <w:sz w:val="28"/>
                            </w:rPr>
                          </w:pPr>
                          <w:r>
                            <w:rPr>
                              <w:rFonts w:ascii="Times New Roman" w:hAnsi="Times New Roman"/>
                              <w:sz w:val="28"/>
                            </w:rPr>
                            <w:t>—</w:t>
                          </w:r>
                          <w:r>
                            <w:rPr>
                              <w:rFonts w:ascii="Times New Roman" w:hAnsi="Times New Roman"/>
                              <w:spacing w:val="-1"/>
                              <w:sz w:val="28"/>
                            </w:rPr>
                            <w:t xml:space="preserve"> </w:t>
                          </w:r>
                          <w:r>
                            <w:fldChar w:fldCharType="begin"/>
                          </w:r>
                          <w:r>
                            <w:rPr>
                              <w:rFonts w:ascii="Times New Roman" w:hAnsi="Times New Roman"/>
                              <w:sz w:val="28"/>
                            </w:rPr>
                            <w:instrText xml:space="preserve"> PAGE </w:instrText>
                          </w:r>
                          <w:r>
                            <w:fldChar w:fldCharType="separate"/>
                          </w:r>
                          <w:r>
                            <w:rPr>
                              <w:rFonts w:ascii="Times New Roman" w:hAnsi="Times New Roman"/>
                              <w:sz w:val="28"/>
                            </w:rPr>
                            <w:t>33</w:t>
                          </w:r>
                          <w:r>
                            <w:fldChar w:fldCharType="end"/>
                          </w:r>
                          <w:r>
                            <w:rPr>
                              <w:rFonts w:ascii="Times New Roman" w:hAnsi="Times New Roman"/>
                              <w:spacing w:val="-1"/>
                              <w:sz w:val="28"/>
                            </w:rPr>
                            <w:t xml:space="preserve"> </w:t>
                          </w:r>
                          <w:r>
                            <w:rPr>
                              <w:rFonts w:ascii="Times New Roman" w:hAnsi="Times New Roman"/>
                              <w:sz w:val="28"/>
                            </w:rPr>
                            <w:t>—</w:t>
                          </w:r>
                        </w:p>
                      </w:txbxContent>
                    </wps:txbx>
                    <wps:bodyPr rot="0" vert="horz" wrap="square" lIns="0" tIns="0" rIns="0" bIns="0" anchor="t" anchorCtr="0" upright="1">
                      <a:noAutofit/>
                    </wps:bodyPr>
                  </wps:wsp>
                </a:graphicData>
              </a:graphic>
            </wp:anchor>
          </w:drawing>
        </mc:Choice>
        <mc:Fallback>
          <w:pict>
            <v:shape id="Text Box 5" o:spid="_x0000_s1026" o:spt="202" type="#_x0000_t202" style="position:absolute;left:0pt;margin-top:785.65pt;height:17.7pt;width:54.1pt;mso-position-horizontal:right;mso-position-horizontal-relative:margin;mso-position-vertical-relative:page;z-index:-251655168;mso-width-relative:page;mso-height-relative:page;" filled="f" stroked="f" coordsize="21600,21600" o:gfxdata="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X+roYtkAAAAKAQAADwAAAAAAAAABACAAAAAiAAAAZHJzL2Rvd25y&#10;ZXYueG1sUEsBAhQAFAAAAAgAh07iQBd7/pH9AQAABAQAAA4AAAAAAAAAAQAgAAAAKAEAAGRycy9l&#10;Mm9Eb2MueG1sUEsFBgAAAAAGAAYAWQEAAJcFAAAAAA==&#10;">
              <v:fill on="f" focussize="0,0"/>
              <v:stroke on="f"/>
              <v:imagedata o:title=""/>
              <o:lock v:ext="edit" aspectratio="f"/>
              <v:textbox inset="0mm,0mm,0mm,0mm">
                <w:txbxContent>
                  <w:p w14:paraId="6718E52A">
                    <w:pPr>
                      <w:spacing w:before="11"/>
                      <w:ind w:left="20"/>
                      <w:rPr>
                        <w:rFonts w:ascii="Times New Roman" w:hAnsi="Times New Roman"/>
                        <w:sz w:val="28"/>
                      </w:rPr>
                    </w:pPr>
                    <w:r>
                      <w:rPr>
                        <w:rFonts w:ascii="Times New Roman" w:hAnsi="Times New Roman"/>
                        <w:sz w:val="28"/>
                      </w:rPr>
                      <w:t>—</w:t>
                    </w:r>
                    <w:r>
                      <w:rPr>
                        <w:rFonts w:ascii="Times New Roman" w:hAnsi="Times New Roman"/>
                        <w:spacing w:val="-1"/>
                        <w:sz w:val="28"/>
                      </w:rPr>
                      <w:t xml:space="preserve"> </w:t>
                    </w:r>
                    <w:r>
                      <w:fldChar w:fldCharType="begin"/>
                    </w:r>
                    <w:r>
                      <w:rPr>
                        <w:rFonts w:ascii="Times New Roman" w:hAnsi="Times New Roman"/>
                        <w:sz w:val="28"/>
                      </w:rPr>
                      <w:instrText xml:space="preserve"> PAGE </w:instrText>
                    </w:r>
                    <w:r>
                      <w:fldChar w:fldCharType="separate"/>
                    </w:r>
                    <w:r>
                      <w:rPr>
                        <w:rFonts w:ascii="Times New Roman" w:hAnsi="Times New Roman"/>
                        <w:sz w:val="28"/>
                      </w:rPr>
                      <w:t>33</w:t>
                    </w:r>
                    <w:r>
                      <w:fldChar w:fldCharType="end"/>
                    </w:r>
                    <w:r>
                      <w:rPr>
                        <w:rFonts w:ascii="Times New Roman" w:hAnsi="Times New Roman"/>
                        <w:spacing w:val="-1"/>
                        <w:sz w:val="28"/>
                      </w:rPr>
                      <w:t xml:space="preserve"> </w:t>
                    </w:r>
                    <w:r>
                      <w:rPr>
                        <w:rFonts w:ascii="Times New Roman" w:hAnsi="Times New Roman"/>
                        <w:sz w:val="28"/>
                      </w:rPr>
                      <w:t>—</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FBFD8F">
    <w:pPr>
      <w:pStyle w:val="3"/>
      <w:spacing w:line="14" w:lineRule="auto"/>
      <w:rPr>
        <w:rFonts w:hint="eastAsia"/>
        <w:sz w:val="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D97DFB"/>
    <w:multiLevelType w:val="singleLevel"/>
    <w:tmpl w:val="85D97DFB"/>
    <w:lvl w:ilvl="0" w:tentative="0">
      <w:start w:val="5"/>
      <w:numFmt w:val="chineseCounting"/>
      <w:suff w:val="nothing"/>
      <w:lvlText w:val="%1、"/>
      <w:lvlJc w:val="left"/>
      <w:rPr>
        <w:rFonts w:hint="eastAsia"/>
      </w:rPr>
    </w:lvl>
  </w:abstractNum>
  <w:abstractNum w:abstractNumId="1">
    <w:nsid w:val="956C9E37"/>
    <w:multiLevelType w:val="singleLevel"/>
    <w:tmpl w:val="956C9E37"/>
    <w:lvl w:ilvl="0" w:tentative="0">
      <w:start w:val="1"/>
      <w:numFmt w:val="chineseCounting"/>
      <w:suff w:val="space"/>
      <w:lvlText w:val="第%1章"/>
      <w:lvlJc w:val="left"/>
      <w:rPr>
        <w:rFonts w:hint="eastAsia"/>
      </w:rPr>
    </w:lvl>
  </w:abstractNum>
  <w:abstractNum w:abstractNumId="2">
    <w:nsid w:val="ABD770F4"/>
    <w:multiLevelType w:val="singleLevel"/>
    <w:tmpl w:val="ABD770F4"/>
    <w:lvl w:ilvl="0" w:tentative="0">
      <w:start w:val="1"/>
      <w:numFmt w:val="decimal"/>
      <w:suff w:val="nothing"/>
      <w:lvlText w:val="（%1）"/>
      <w:lvlJc w:val="left"/>
    </w:lvl>
  </w:abstractNum>
  <w:abstractNum w:abstractNumId="3">
    <w:nsid w:val="B4229AB6"/>
    <w:multiLevelType w:val="singleLevel"/>
    <w:tmpl w:val="B4229AB6"/>
    <w:lvl w:ilvl="0" w:tentative="0">
      <w:start w:val="1"/>
      <w:numFmt w:val="decimal"/>
      <w:suff w:val="nothing"/>
      <w:lvlText w:val="（%1）"/>
      <w:lvlJc w:val="left"/>
    </w:lvl>
  </w:abstractNum>
  <w:abstractNum w:abstractNumId="4">
    <w:nsid w:val="0000000B"/>
    <w:multiLevelType w:val="singleLevel"/>
    <w:tmpl w:val="0000000B"/>
    <w:lvl w:ilvl="0" w:tentative="0">
      <w:start w:val="1"/>
      <w:numFmt w:val="decimal"/>
      <w:pStyle w:val="2"/>
      <w:lvlText w:val="%1."/>
      <w:lvlJc w:val="left"/>
      <w:pPr>
        <w:tabs>
          <w:tab w:val="left" w:pos="425"/>
        </w:tabs>
        <w:ind w:left="425" w:hanging="425"/>
      </w:pPr>
      <w:rPr>
        <w:rFonts w:hint="eastAsia"/>
      </w:rPr>
    </w:lvl>
  </w:abstractNum>
  <w:abstractNum w:abstractNumId="5">
    <w:nsid w:val="4802BE0F"/>
    <w:multiLevelType w:val="singleLevel"/>
    <w:tmpl w:val="4802BE0F"/>
    <w:lvl w:ilvl="0" w:tentative="0">
      <w:start w:val="1"/>
      <w:numFmt w:val="decimal"/>
      <w:suff w:val="nothing"/>
      <w:lvlText w:val="（%1）"/>
      <w:lvlJc w:val="left"/>
    </w:lvl>
  </w:abstractNum>
  <w:num w:numId="1">
    <w:abstractNumId w:val="4"/>
  </w:num>
  <w:num w:numId="2">
    <w:abstractNumId w:val="1"/>
  </w:num>
  <w:num w:numId="3">
    <w:abstractNumId w:val="0"/>
  </w:num>
  <w:num w:numId="4">
    <w:abstractNumId w:val="5"/>
  </w:num>
  <w:num w:numId="5">
    <w:abstractNumId w:val="3"/>
  </w:num>
  <w:num w:numId="6">
    <w:abstractNumId w:val="2"/>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